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8B" w:rsidRDefault="00A63CC3" w:rsidP="00D9318B">
      <w:pPr>
        <w:autoSpaceDE w:val="0"/>
        <w:autoSpaceDN w:val="0"/>
        <w:adjustRightInd w:val="0"/>
        <w:spacing w:line="480" w:lineRule="auto"/>
        <w:jc w:val="both"/>
        <w:rPr>
          <w:b/>
          <w:sz w:val="20"/>
          <w:szCs w:val="20"/>
        </w:rPr>
      </w:pPr>
      <w:r>
        <w:rPr>
          <w:b/>
          <w:noProof/>
          <w:sz w:val="20"/>
          <w:szCs w:val="20"/>
        </w:rPr>
        <w:pict>
          <v:rect id="_x0000_s1026" style="position:absolute;left:0;text-align:left;margin-left:6.75pt;margin-top:-38.25pt;width:364.5pt;height:21pt;z-index:251660288" stroked="f"/>
        </w:pict>
      </w:r>
      <w:r w:rsidR="00D9318B" w:rsidRPr="00C71A3E">
        <w:rPr>
          <w:b/>
          <w:sz w:val="20"/>
          <w:szCs w:val="20"/>
        </w:rPr>
        <w:t>Jour. P</w:t>
      </w:r>
      <w:r w:rsidR="000B0C29">
        <w:rPr>
          <w:b/>
          <w:sz w:val="20"/>
          <w:szCs w:val="20"/>
        </w:rPr>
        <w:t>AS, Vol. 22, pp 34 – 39</w:t>
      </w:r>
      <w:r w:rsidR="00D9318B">
        <w:rPr>
          <w:b/>
          <w:sz w:val="20"/>
          <w:szCs w:val="20"/>
        </w:rPr>
        <w:t>, 2016</w:t>
      </w:r>
      <w:r w:rsidR="00D9318B">
        <w:rPr>
          <w:b/>
          <w:sz w:val="20"/>
          <w:szCs w:val="20"/>
        </w:rPr>
        <w:tab/>
      </w:r>
      <w:r w:rsidR="00D9318B">
        <w:rPr>
          <w:b/>
          <w:sz w:val="20"/>
          <w:szCs w:val="20"/>
        </w:rPr>
        <w:tab/>
      </w:r>
      <w:r w:rsidR="00D9318B">
        <w:rPr>
          <w:b/>
          <w:sz w:val="20"/>
          <w:szCs w:val="20"/>
        </w:rPr>
        <w:tab/>
      </w:r>
      <w:r w:rsidR="00D9318B">
        <w:rPr>
          <w:b/>
          <w:sz w:val="20"/>
          <w:szCs w:val="20"/>
        </w:rPr>
        <w:tab/>
        <w:t xml:space="preserve">    </w:t>
      </w:r>
      <w:r w:rsidR="00D9318B" w:rsidRPr="00C71A3E">
        <w:rPr>
          <w:b/>
          <w:sz w:val="20"/>
          <w:szCs w:val="20"/>
        </w:rPr>
        <w:t>ISSN 0972 – 3498</w:t>
      </w:r>
    </w:p>
    <w:p w:rsidR="006C4BB4" w:rsidRDefault="006C4BB4" w:rsidP="008032E0">
      <w:pPr>
        <w:pStyle w:val="BodyText"/>
        <w:spacing w:line="240" w:lineRule="auto"/>
        <w:ind w:right="18"/>
        <w:jc w:val="center"/>
        <w:rPr>
          <w:b/>
          <w:caps/>
          <w:sz w:val="28"/>
          <w:szCs w:val="28"/>
        </w:rPr>
      </w:pPr>
      <w:r w:rsidRPr="006C4BB4">
        <w:rPr>
          <w:b/>
          <w:caps/>
          <w:sz w:val="28"/>
          <w:szCs w:val="28"/>
        </w:rPr>
        <w:t>A Theoretical Study of Phonon</w:t>
      </w:r>
      <w:r>
        <w:rPr>
          <w:b/>
          <w:caps/>
          <w:sz w:val="28"/>
          <w:szCs w:val="28"/>
        </w:rPr>
        <w:t xml:space="preserve"> Properties</w:t>
      </w:r>
    </w:p>
    <w:p w:rsidR="00D9318B" w:rsidRPr="006C4BB4" w:rsidRDefault="006C4BB4" w:rsidP="006C4BB4">
      <w:pPr>
        <w:pStyle w:val="BodyText"/>
        <w:ind w:right="-432" w:hanging="993"/>
        <w:jc w:val="center"/>
        <w:rPr>
          <w:b/>
          <w:sz w:val="28"/>
          <w:szCs w:val="28"/>
        </w:rPr>
      </w:pPr>
      <w:r w:rsidRPr="006C4BB4">
        <w:rPr>
          <w:b/>
          <w:caps/>
          <w:sz w:val="28"/>
          <w:szCs w:val="28"/>
        </w:rPr>
        <w:t>of Dysprosium Monopnictides</w:t>
      </w:r>
      <w:r>
        <w:rPr>
          <w:b/>
          <w:sz w:val="28"/>
          <w:szCs w:val="28"/>
        </w:rPr>
        <w:t xml:space="preserve"> (DyP)</w:t>
      </w:r>
    </w:p>
    <w:p w:rsidR="00D9318B" w:rsidRPr="00982551" w:rsidRDefault="008032E0" w:rsidP="00D9318B">
      <w:pPr>
        <w:jc w:val="center"/>
        <w:rPr>
          <w:b/>
          <w:caps/>
          <w:szCs w:val="26"/>
        </w:rPr>
      </w:pPr>
      <w:r>
        <w:rPr>
          <w:b/>
          <w:szCs w:val="28"/>
        </w:rPr>
        <w:t>Md. Imran Aziz</w:t>
      </w:r>
    </w:p>
    <w:p w:rsidR="00D9318B" w:rsidRDefault="00D9318B" w:rsidP="00D9318B">
      <w:pPr>
        <w:jc w:val="center"/>
        <w:rPr>
          <w:b/>
          <w:sz w:val="22"/>
          <w:szCs w:val="28"/>
        </w:rPr>
      </w:pPr>
      <w:r w:rsidRPr="00982551">
        <w:rPr>
          <w:b/>
          <w:sz w:val="22"/>
          <w:szCs w:val="28"/>
        </w:rPr>
        <w:t>Department of</w:t>
      </w:r>
      <w:r w:rsidR="008032E0">
        <w:rPr>
          <w:b/>
          <w:sz w:val="22"/>
          <w:szCs w:val="28"/>
        </w:rPr>
        <w:t xml:space="preserve"> Physics, Shibli National P.G. College, Azamgarh – 276001</w:t>
      </w:r>
    </w:p>
    <w:p w:rsidR="00DA0A70" w:rsidRPr="00DA0A70" w:rsidRDefault="00DA0A70" w:rsidP="00D9318B">
      <w:pPr>
        <w:jc w:val="center"/>
        <w:rPr>
          <w:b/>
          <w:sz w:val="18"/>
        </w:rPr>
      </w:pPr>
      <w:r w:rsidRPr="00DA0A70">
        <w:rPr>
          <w:b/>
          <w:color w:val="000000" w:themeColor="text1"/>
          <w:sz w:val="22"/>
        </w:rPr>
        <w:t xml:space="preserve">e-mail : </w:t>
      </w:r>
      <w:hyperlink r:id="rId7" w:history="1">
        <w:r w:rsidRPr="00DA0A70">
          <w:rPr>
            <w:rStyle w:val="Hyperlink"/>
            <w:b/>
            <w:color w:val="000000" w:themeColor="text1"/>
            <w:sz w:val="22"/>
            <w:u w:val="none"/>
          </w:rPr>
          <w:t>aziz_muhd33@yahoo.co.in</w:t>
        </w:r>
      </w:hyperlink>
    </w:p>
    <w:p w:rsidR="00D9318B" w:rsidRPr="00CA5D85" w:rsidRDefault="00DA0A70" w:rsidP="00D9318B">
      <w:pPr>
        <w:jc w:val="center"/>
        <w:rPr>
          <w:b/>
          <w:sz w:val="22"/>
        </w:rPr>
      </w:pPr>
      <w:r>
        <w:rPr>
          <w:b/>
          <w:sz w:val="22"/>
          <w:szCs w:val="22"/>
        </w:rPr>
        <w:t>(Received on 20</w:t>
      </w:r>
      <w:r w:rsidR="00D9318B">
        <w:rPr>
          <w:b/>
          <w:sz w:val="22"/>
          <w:szCs w:val="22"/>
        </w:rPr>
        <w:t>.06.2016)</w:t>
      </w:r>
    </w:p>
    <w:p w:rsidR="00DA0A70" w:rsidRPr="00381FE2" w:rsidRDefault="00D9318B" w:rsidP="00D9318B">
      <w:pPr>
        <w:spacing w:before="360" w:line="336" w:lineRule="auto"/>
        <w:jc w:val="both"/>
        <w:rPr>
          <w:sz w:val="22"/>
        </w:rPr>
      </w:pPr>
      <w:r>
        <w:rPr>
          <w:b/>
          <w:i/>
          <w:sz w:val="22"/>
          <w:szCs w:val="22"/>
        </w:rPr>
        <w:t>Abstract</w:t>
      </w:r>
      <w:r w:rsidRPr="005F0100">
        <w:rPr>
          <w:b/>
          <w:i/>
          <w:sz w:val="22"/>
          <w:szCs w:val="22"/>
        </w:rPr>
        <w:t xml:space="preserve"> :</w:t>
      </w:r>
      <w:r w:rsidRPr="00F427AA">
        <w:rPr>
          <w:b/>
          <w:sz w:val="22"/>
          <w:szCs w:val="22"/>
        </w:rPr>
        <w:t xml:space="preserve"> </w:t>
      </w:r>
      <w:r w:rsidR="00DA0A70" w:rsidRPr="001D300E">
        <w:rPr>
          <w:sz w:val="22"/>
          <w:szCs w:val="22"/>
        </w:rPr>
        <w:t>Many body interactions</w:t>
      </w:r>
      <w:r w:rsidR="00DA0A70" w:rsidRPr="001D300E">
        <w:rPr>
          <w:color w:val="000000"/>
          <w:sz w:val="22"/>
          <w:szCs w:val="22"/>
        </w:rPr>
        <w:t>, which includes the effect of van der Waals interactions (vWI) and three body interactions in the framework of rigid shell model (RSM), has been employe</w:t>
      </w:r>
      <w:r w:rsidR="00DA0A70">
        <w:rPr>
          <w:color w:val="000000"/>
          <w:sz w:val="22"/>
          <w:szCs w:val="22"/>
        </w:rPr>
        <w:t>d to study the phonon dispersion curve</w:t>
      </w:r>
      <w:r w:rsidR="00DA0A70" w:rsidRPr="00C46156">
        <w:rPr>
          <w:color w:val="000000"/>
          <w:sz w:val="22"/>
          <w:szCs w:val="22"/>
        </w:rPr>
        <w:t xml:space="preserve">, </w:t>
      </w:r>
      <w:r w:rsidR="00DA0A70">
        <w:rPr>
          <w:color w:val="000000"/>
          <w:sz w:val="22"/>
          <w:szCs w:val="22"/>
        </w:rPr>
        <w:t>of the</w:t>
      </w:r>
      <w:r w:rsidR="00DA0A70" w:rsidRPr="001D300E">
        <w:rPr>
          <w:color w:val="000000"/>
          <w:sz w:val="22"/>
          <w:szCs w:val="22"/>
        </w:rPr>
        <w:t xml:space="preserve"> </w:t>
      </w:r>
      <w:r w:rsidR="00DA0A70">
        <w:rPr>
          <w:sz w:val="22"/>
          <w:szCs w:val="22"/>
        </w:rPr>
        <w:t>Dysprosium monopnictides (DyP)</w:t>
      </w:r>
      <w:r w:rsidR="00DA0A70" w:rsidRPr="001D300E">
        <w:rPr>
          <w:color w:val="000000"/>
          <w:sz w:val="22"/>
          <w:szCs w:val="22"/>
        </w:rPr>
        <w:t>. We assume that the overlap repulsion is effective only up to the ﬁrst neighbour, while the van der Waals attraction acts up to the second neighbours and plays very important role. Because of f-d hybridization, the large LO-TO phonon splitting at zone centre predicted. The agreement between our predictions and available neutron data for phonon dispersion curves strongly supports the inclusion of van der Waals interactions. We also repo</w:t>
      </w:r>
      <w:r w:rsidR="006D4EB4">
        <w:rPr>
          <w:color w:val="000000"/>
          <w:sz w:val="22"/>
          <w:szCs w:val="22"/>
        </w:rPr>
        <w:t>rt the speci</w:t>
      </w:r>
      <w:r w:rsidR="00DA0A70">
        <w:rPr>
          <w:color w:val="000000"/>
          <w:sz w:val="22"/>
          <w:szCs w:val="22"/>
        </w:rPr>
        <w:t>ﬁc heat variations</w:t>
      </w:r>
      <w:r w:rsidR="00DA0A70" w:rsidRPr="001D300E">
        <w:rPr>
          <w:color w:val="000000"/>
          <w:sz w:val="22"/>
          <w:szCs w:val="22"/>
        </w:rPr>
        <w:t xml:space="preserve"> of </w:t>
      </w:r>
      <w:r w:rsidR="00DA0A70">
        <w:rPr>
          <w:sz w:val="22"/>
          <w:szCs w:val="22"/>
        </w:rPr>
        <w:t>Dysprosium monopnictides (DyP)</w:t>
      </w:r>
      <w:r w:rsidR="00DA0A70" w:rsidRPr="001D300E">
        <w:rPr>
          <w:color w:val="000000"/>
          <w:sz w:val="22"/>
          <w:szCs w:val="22"/>
        </w:rPr>
        <w:t>.</w:t>
      </w:r>
    </w:p>
    <w:p w:rsidR="002C664E" w:rsidRDefault="00D9318B" w:rsidP="002C664E">
      <w:pPr>
        <w:spacing w:before="240" w:line="324" w:lineRule="auto"/>
        <w:jc w:val="both"/>
        <w:rPr>
          <w:sz w:val="22"/>
          <w:szCs w:val="22"/>
        </w:rPr>
      </w:pPr>
      <w:r w:rsidRPr="00AC58C8">
        <w:rPr>
          <w:b/>
          <w:i/>
          <w:sz w:val="22"/>
          <w:szCs w:val="22"/>
        </w:rPr>
        <w:t>Introduction :</w:t>
      </w:r>
      <w:r>
        <w:rPr>
          <w:b/>
          <w:sz w:val="22"/>
          <w:szCs w:val="22"/>
        </w:rPr>
        <w:t xml:space="preserve"> </w:t>
      </w:r>
      <w:r w:rsidR="00B465E3" w:rsidRPr="00B465E3">
        <w:rPr>
          <w:sz w:val="22"/>
          <w:szCs w:val="22"/>
        </w:rPr>
        <w:t>The study of phonon vibrational properties of Dysprosium monopnictides DyX (X=P, As)   is very interesting, crystallizing into rock-salt structure Dysprosium monopnictides (DyP) has a Fm3m,face-centered cubic with lattice parameter a</w:t>
      </w:r>
      <w:r w:rsidR="00B465E3" w:rsidRPr="00B465E3">
        <w:rPr>
          <w:sz w:val="22"/>
          <w:szCs w:val="22"/>
          <w:vertAlign w:val="subscript"/>
        </w:rPr>
        <w:t>o</w:t>
      </w:r>
      <w:r w:rsidR="00866973">
        <w:rPr>
          <w:sz w:val="22"/>
          <w:szCs w:val="22"/>
          <w:vertAlign w:val="subscript"/>
        </w:rPr>
        <w:t xml:space="preserve"> </w:t>
      </w:r>
      <w:r w:rsidR="00B465E3" w:rsidRPr="00B465E3">
        <w:rPr>
          <w:sz w:val="22"/>
          <w:szCs w:val="22"/>
        </w:rPr>
        <w:t>=</w:t>
      </w:r>
      <w:r w:rsidR="00866973">
        <w:rPr>
          <w:sz w:val="22"/>
          <w:szCs w:val="22"/>
        </w:rPr>
        <w:t xml:space="preserve"> </w:t>
      </w:r>
      <w:r w:rsidR="00B465E3" w:rsidRPr="00B465E3">
        <w:rPr>
          <w:sz w:val="22"/>
          <w:szCs w:val="22"/>
        </w:rPr>
        <w:t>5.859A</w:t>
      </w:r>
      <w:r w:rsidR="00B465E3" w:rsidRPr="00B465E3">
        <w:rPr>
          <w:sz w:val="22"/>
          <w:szCs w:val="22"/>
          <w:vertAlign w:val="superscript"/>
        </w:rPr>
        <w:t>0</w:t>
      </w:r>
      <w:r w:rsidR="00B465E3" w:rsidRPr="00B465E3">
        <w:rPr>
          <w:sz w:val="22"/>
          <w:szCs w:val="22"/>
        </w:rPr>
        <w:t xml:space="preserve"> and orders ferromagnetically. Although several theoretical models have been used to predict the phonon dispersion curves (PDCs) of these solids but only with moderate success. After introducing anharmonic vibration in the many-body interactions, we expect that a composite model taking both the effects into account will improve the discrepancies between theory and neutron data.  The phonon dynamics of Dysprosium monopnictides (DyP) was studied by various theoretical workers with successively improved models</w:t>
      </w:r>
      <w:r w:rsidR="00866973" w:rsidRPr="00866973">
        <w:rPr>
          <w:sz w:val="22"/>
          <w:szCs w:val="22"/>
          <w:vertAlign w:val="superscript"/>
        </w:rPr>
        <w:t>[1, 2, 5]</w:t>
      </w:r>
      <w:r w:rsidR="00866973">
        <w:rPr>
          <w:sz w:val="22"/>
          <w:szCs w:val="22"/>
        </w:rPr>
        <w:t xml:space="preserve">. </w:t>
      </w:r>
      <w:r w:rsidR="00B465E3" w:rsidRPr="00B465E3">
        <w:rPr>
          <w:sz w:val="22"/>
          <w:szCs w:val="22"/>
        </w:rPr>
        <w:t xml:space="preserve">Although this approach is better than other but without including van der Waals interactions the complete vibrational properties can not be investigated. In order to explain the lattice vibrational behavior of Dysprosium monopnictides (DyP) better, we have employed a model which includes van der Waals interactions and three body interactions and short-range repulsion effective up to the second neighbors in </w:t>
      </w:r>
      <w:r w:rsidR="00B465E3" w:rsidRPr="00B465E3">
        <w:rPr>
          <w:sz w:val="22"/>
          <w:szCs w:val="22"/>
        </w:rPr>
        <w:lastRenderedPageBreak/>
        <w:t>the frame work of rigid shell model. The parameters of this model have been calculated by using measured values of interionic distance (r</w:t>
      </w:r>
      <w:r w:rsidR="00B465E3" w:rsidRPr="00B465E3">
        <w:rPr>
          <w:sz w:val="22"/>
          <w:szCs w:val="22"/>
          <w:vertAlign w:val="subscript"/>
        </w:rPr>
        <w:t>0</w:t>
      </w:r>
      <w:r w:rsidR="00B465E3" w:rsidRPr="00B465E3">
        <w:rPr>
          <w:sz w:val="22"/>
          <w:szCs w:val="22"/>
        </w:rPr>
        <w:t>), elastic constants (C</w:t>
      </w:r>
      <w:r w:rsidR="00B465E3" w:rsidRPr="00B465E3">
        <w:rPr>
          <w:sz w:val="22"/>
          <w:szCs w:val="22"/>
          <w:vertAlign w:val="subscript"/>
        </w:rPr>
        <w:t>11</w:t>
      </w:r>
      <w:r w:rsidR="00B465E3" w:rsidRPr="00B465E3">
        <w:rPr>
          <w:sz w:val="22"/>
          <w:szCs w:val="22"/>
        </w:rPr>
        <w:t>, C</w:t>
      </w:r>
      <w:r w:rsidR="00B465E3" w:rsidRPr="00B465E3">
        <w:rPr>
          <w:sz w:val="22"/>
          <w:szCs w:val="22"/>
          <w:vertAlign w:val="subscript"/>
        </w:rPr>
        <w:t>12</w:t>
      </w:r>
      <w:r w:rsidR="00B465E3" w:rsidRPr="00B465E3">
        <w:rPr>
          <w:sz w:val="22"/>
          <w:szCs w:val="22"/>
        </w:rPr>
        <w:t>, C</w:t>
      </w:r>
      <w:r w:rsidR="00B465E3" w:rsidRPr="00B465E3">
        <w:rPr>
          <w:sz w:val="22"/>
          <w:szCs w:val="22"/>
          <w:vertAlign w:val="subscript"/>
        </w:rPr>
        <w:t>44</w:t>
      </w:r>
      <w:r w:rsidR="00B465E3" w:rsidRPr="00B465E3">
        <w:rPr>
          <w:sz w:val="22"/>
          <w:szCs w:val="22"/>
        </w:rPr>
        <w:t>), electronic polarizabilities (α</w:t>
      </w:r>
      <w:r w:rsidR="00B465E3" w:rsidRPr="00B465E3">
        <w:rPr>
          <w:sz w:val="22"/>
          <w:szCs w:val="22"/>
          <w:vertAlign w:val="subscript"/>
        </w:rPr>
        <w:t>1</w:t>
      </w:r>
      <w:r w:rsidR="00B465E3" w:rsidRPr="00B465E3">
        <w:rPr>
          <w:sz w:val="22"/>
          <w:szCs w:val="22"/>
        </w:rPr>
        <w:t>, α</w:t>
      </w:r>
      <w:r w:rsidR="00B465E3" w:rsidRPr="00B465E3">
        <w:rPr>
          <w:sz w:val="22"/>
          <w:szCs w:val="22"/>
          <w:vertAlign w:val="subscript"/>
        </w:rPr>
        <w:t>2</w:t>
      </w:r>
      <w:r w:rsidR="00B465E3" w:rsidRPr="00B465E3">
        <w:rPr>
          <w:sz w:val="22"/>
          <w:szCs w:val="22"/>
        </w:rPr>
        <w:t>) and frequencies along Γ, X, M and R symmetry directions. These model parameters have been used to compute the phonon spectra for the allowed 48-non equivalent wave vectors in the first Brillouin zone of NaCl structure.</w:t>
      </w:r>
    </w:p>
    <w:p w:rsidR="002C664E" w:rsidRDefault="00B465E3" w:rsidP="002C664E">
      <w:pPr>
        <w:spacing w:before="240" w:line="324" w:lineRule="auto"/>
        <w:jc w:val="both"/>
        <w:rPr>
          <w:b/>
          <w:sz w:val="22"/>
          <w:szCs w:val="28"/>
        </w:rPr>
      </w:pPr>
      <w:r w:rsidRPr="002C664E">
        <w:rPr>
          <w:b/>
          <w:i/>
          <w:sz w:val="22"/>
          <w:szCs w:val="22"/>
        </w:rPr>
        <w:t>Lattice Dynamical Model</w:t>
      </w:r>
      <w:r w:rsidR="002C664E" w:rsidRPr="002C664E">
        <w:rPr>
          <w:b/>
          <w:i/>
          <w:sz w:val="22"/>
          <w:szCs w:val="22"/>
        </w:rPr>
        <w:t xml:space="preserve"> :</w:t>
      </w:r>
      <w:r w:rsidR="002C664E">
        <w:rPr>
          <w:b/>
          <w:sz w:val="22"/>
          <w:szCs w:val="22"/>
        </w:rPr>
        <w:t xml:space="preserve"> </w:t>
      </w:r>
      <w:r w:rsidRPr="00B465E3">
        <w:rPr>
          <w:sz w:val="22"/>
          <w:szCs w:val="22"/>
        </w:rPr>
        <w:t>The shell model can be incorporated into the formalism of the dynamical matrix by writing separate equations of motion for the core and the shell. Because the mass of the shell is zero in the shell model, there is no separate mw</w:t>
      </w:r>
      <w:r w:rsidRPr="00B465E3">
        <w:rPr>
          <w:sz w:val="22"/>
          <w:szCs w:val="22"/>
          <w:vertAlign w:val="superscript"/>
        </w:rPr>
        <w:t>2</w:t>
      </w:r>
      <w:r w:rsidRPr="00B465E3">
        <w:rPr>
          <w:sz w:val="22"/>
          <w:szCs w:val="22"/>
        </w:rPr>
        <w:t xml:space="preserve"> for the shell. Instead, the shell instantaneously relaxes to its equilibrium position so that there is no restoring force on the shell. Thus the displacement of the shell is completely tied to the displacement of the cores, and therefore there is not a separate solution for the shell. The contributions of the shells fold into an expanded dynamical matrix for the ionic cores and giving the same number of solutions as for models without ionic shells. There has been always a continuing effort to obtain accurate interatomic potential functions. The interaction potential energy function is generally used to study the crystalline properties of diatomic crystal. The total potential for the Dysprosium monopnictides (DyP) can be written as</w:t>
      </w:r>
    </w:p>
    <w:p w:rsidR="00F461CC" w:rsidRDefault="00F461CC" w:rsidP="00F461CC">
      <w:pPr>
        <w:spacing w:before="120" w:line="324" w:lineRule="auto"/>
        <w:jc w:val="both"/>
        <w:rPr>
          <w:sz w:val="22"/>
          <w:szCs w:val="22"/>
        </w:rPr>
      </w:pPr>
      <w:r>
        <w:rPr>
          <w:sz w:val="22"/>
          <w:szCs w:val="22"/>
        </w:rPr>
        <w:tab/>
      </w:r>
      <w:r>
        <w:rPr>
          <w:sz w:val="22"/>
          <w:szCs w:val="22"/>
        </w:rPr>
        <w:tab/>
      </w:r>
      <w:r w:rsidR="00B465E3" w:rsidRPr="00B465E3">
        <w:rPr>
          <w:sz w:val="22"/>
          <w:szCs w:val="22"/>
        </w:rPr>
        <w:sym w:font="Symbol" w:char="F046"/>
      </w:r>
      <w:r w:rsidR="00B465E3" w:rsidRPr="00B465E3">
        <w:rPr>
          <w:sz w:val="22"/>
          <w:szCs w:val="22"/>
        </w:rPr>
        <w:t xml:space="preserve"> = </w:t>
      </w:r>
      <w:r w:rsidR="00B465E3" w:rsidRPr="00B465E3">
        <w:rPr>
          <w:sz w:val="22"/>
          <w:szCs w:val="22"/>
        </w:rPr>
        <w:sym w:font="Symbol" w:char="F046"/>
      </w:r>
      <w:r w:rsidR="00B465E3" w:rsidRPr="00B465E3">
        <w:rPr>
          <w:sz w:val="22"/>
          <w:szCs w:val="22"/>
          <w:vertAlign w:val="superscript"/>
        </w:rPr>
        <w:t>C</w:t>
      </w:r>
      <w:r w:rsidR="00B465E3" w:rsidRPr="00B465E3">
        <w:rPr>
          <w:sz w:val="22"/>
          <w:szCs w:val="22"/>
        </w:rPr>
        <w:t>+</w:t>
      </w:r>
      <w:r w:rsidR="00B465E3" w:rsidRPr="00B465E3">
        <w:rPr>
          <w:sz w:val="22"/>
          <w:szCs w:val="22"/>
        </w:rPr>
        <w:sym w:font="Symbol" w:char="F046"/>
      </w:r>
      <w:r w:rsidR="00B465E3" w:rsidRPr="00B465E3">
        <w:rPr>
          <w:sz w:val="22"/>
          <w:szCs w:val="22"/>
          <w:vertAlign w:val="superscript"/>
        </w:rPr>
        <w:t>R</w:t>
      </w:r>
      <w:r w:rsidR="00B465E3" w:rsidRPr="00B465E3">
        <w:rPr>
          <w:sz w:val="22"/>
          <w:szCs w:val="22"/>
        </w:rPr>
        <w:t>+</w:t>
      </w:r>
      <w:r w:rsidR="00B465E3" w:rsidRPr="00B465E3">
        <w:rPr>
          <w:sz w:val="22"/>
          <w:szCs w:val="22"/>
        </w:rPr>
        <w:sym w:font="Symbol" w:char="F046"/>
      </w:r>
      <w:r w:rsidR="00B465E3" w:rsidRPr="00B465E3">
        <w:rPr>
          <w:sz w:val="22"/>
          <w:szCs w:val="22"/>
          <w:vertAlign w:val="superscript"/>
        </w:rPr>
        <w:t>TBI</w:t>
      </w:r>
      <w:r w:rsidR="00B465E3" w:rsidRPr="00B465E3">
        <w:rPr>
          <w:sz w:val="22"/>
          <w:szCs w:val="22"/>
        </w:rPr>
        <w:t>+</w:t>
      </w:r>
      <w:r w:rsidR="00B465E3" w:rsidRPr="00B465E3">
        <w:rPr>
          <w:sz w:val="22"/>
          <w:szCs w:val="22"/>
        </w:rPr>
        <w:sym w:font="Symbol" w:char="F046"/>
      </w:r>
      <w:r w:rsidR="00B465E3" w:rsidRPr="00B465E3">
        <w:rPr>
          <w:sz w:val="22"/>
          <w:szCs w:val="22"/>
          <w:vertAlign w:val="superscript"/>
        </w:rPr>
        <w:t xml:space="preserve">VWI </w:t>
      </w:r>
      <w:r>
        <w:rPr>
          <w:sz w:val="22"/>
          <w:szCs w:val="22"/>
        </w:rPr>
        <w:tab/>
      </w:r>
      <w:r>
        <w:rPr>
          <w:sz w:val="22"/>
          <w:szCs w:val="22"/>
        </w:rPr>
        <w:tab/>
      </w:r>
      <w:r>
        <w:rPr>
          <w:sz w:val="22"/>
          <w:szCs w:val="22"/>
        </w:rPr>
        <w:tab/>
      </w:r>
      <w:r>
        <w:rPr>
          <w:sz w:val="22"/>
          <w:szCs w:val="22"/>
        </w:rPr>
        <w:tab/>
      </w:r>
      <w:r>
        <w:rPr>
          <w:sz w:val="22"/>
          <w:szCs w:val="22"/>
        </w:rPr>
        <w:tab/>
        <w:t>(</w:t>
      </w:r>
      <w:r w:rsidR="00B465E3" w:rsidRPr="00B465E3">
        <w:rPr>
          <w:sz w:val="22"/>
          <w:szCs w:val="22"/>
        </w:rPr>
        <w:t>1)</w:t>
      </w:r>
    </w:p>
    <w:p w:rsidR="00F461CC" w:rsidRDefault="00B465E3" w:rsidP="00F461CC">
      <w:pPr>
        <w:spacing w:before="120" w:line="324" w:lineRule="auto"/>
        <w:jc w:val="both"/>
        <w:rPr>
          <w:sz w:val="22"/>
          <w:szCs w:val="22"/>
        </w:rPr>
      </w:pPr>
      <w:r w:rsidRPr="00B465E3">
        <w:rPr>
          <w:sz w:val="22"/>
          <w:szCs w:val="22"/>
        </w:rPr>
        <w:t xml:space="preserve">When first term </w:t>
      </w:r>
      <w:r w:rsidRPr="00B465E3">
        <w:rPr>
          <w:sz w:val="22"/>
          <w:szCs w:val="22"/>
        </w:rPr>
        <w:sym w:font="Symbol" w:char="F046"/>
      </w:r>
      <w:r w:rsidRPr="00B465E3">
        <w:rPr>
          <w:sz w:val="22"/>
          <w:szCs w:val="22"/>
          <w:vertAlign w:val="superscript"/>
        </w:rPr>
        <w:t>C</w:t>
      </w:r>
      <w:r w:rsidRPr="00B465E3">
        <w:rPr>
          <w:sz w:val="22"/>
          <w:szCs w:val="22"/>
        </w:rPr>
        <w:t xml:space="preserve"> is coulomb interaction potential and is long-range in nature, second term  is  </w:t>
      </w:r>
      <w:r w:rsidRPr="00B465E3">
        <w:rPr>
          <w:sz w:val="22"/>
          <w:szCs w:val="22"/>
        </w:rPr>
        <w:sym w:font="Symbol" w:char="F046"/>
      </w:r>
      <w:r w:rsidRPr="00B465E3">
        <w:rPr>
          <w:sz w:val="22"/>
          <w:szCs w:val="22"/>
          <w:vertAlign w:val="superscript"/>
        </w:rPr>
        <w:t xml:space="preserve">R  </w:t>
      </w:r>
      <w:r w:rsidRPr="00B465E3">
        <w:rPr>
          <w:sz w:val="22"/>
          <w:szCs w:val="22"/>
        </w:rPr>
        <w:t>short –range overlap repulsion potential, third term</w:t>
      </w:r>
      <w:r w:rsidRPr="00B465E3">
        <w:rPr>
          <w:sz w:val="22"/>
          <w:szCs w:val="22"/>
        </w:rPr>
        <w:sym w:font="Symbol" w:char="F046"/>
      </w:r>
      <w:r w:rsidRPr="00B465E3">
        <w:rPr>
          <w:sz w:val="22"/>
          <w:szCs w:val="22"/>
          <w:vertAlign w:val="superscript"/>
        </w:rPr>
        <w:t>TBI</w:t>
      </w:r>
      <w:r w:rsidRPr="00B465E3">
        <w:rPr>
          <w:sz w:val="22"/>
          <w:szCs w:val="22"/>
        </w:rPr>
        <w:t xml:space="preserve"> is three-body interactions potential and the last term is </w:t>
      </w:r>
      <w:r w:rsidRPr="00B465E3">
        <w:rPr>
          <w:sz w:val="22"/>
          <w:szCs w:val="22"/>
        </w:rPr>
        <w:sym w:font="Symbol" w:char="F046"/>
      </w:r>
      <w:r w:rsidRPr="00B465E3">
        <w:rPr>
          <w:sz w:val="22"/>
          <w:szCs w:val="22"/>
          <w:vertAlign w:val="superscript"/>
        </w:rPr>
        <w:t xml:space="preserve">VWI </w:t>
      </w:r>
      <w:r w:rsidRPr="00B465E3">
        <w:rPr>
          <w:sz w:val="22"/>
          <w:szCs w:val="22"/>
        </w:rPr>
        <w:t xml:space="preserve"> van der Waals interactions potential and owes its origin to the correlations of the electron  motions in different atoms. We consider that van der Waals energy converges fast but the overlap repulsion converges much faster. Therefore, the overlap repulsion is effective only up to the first neighbor and the van der Waals attracti</w:t>
      </w:r>
      <w:r w:rsidR="00CA0261">
        <w:rPr>
          <w:sz w:val="22"/>
          <w:szCs w:val="22"/>
        </w:rPr>
        <w:t>on up to the second  neighbors</w:t>
      </w:r>
      <w:r w:rsidR="00CA0261" w:rsidRPr="00CA0261">
        <w:rPr>
          <w:sz w:val="22"/>
          <w:szCs w:val="22"/>
          <w:vertAlign w:val="superscript"/>
        </w:rPr>
        <w:t>[4, 6</w:t>
      </w:r>
      <w:r w:rsidRPr="00CA0261">
        <w:rPr>
          <w:sz w:val="22"/>
          <w:szCs w:val="22"/>
          <w:vertAlign w:val="superscript"/>
        </w:rPr>
        <w:t>]</w:t>
      </w:r>
      <w:r w:rsidRPr="00B465E3">
        <w:rPr>
          <w:sz w:val="22"/>
          <w:szCs w:val="22"/>
        </w:rPr>
        <w:t>.</w:t>
      </w:r>
    </w:p>
    <w:p w:rsidR="00F461CC" w:rsidRDefault="00F461CC" w:rsidP="00F461CC">
      <w:pPr>
        <w:spacing w:before="120" w:line="324" w:lineRule="auto"/>
        <w:jc w:val="both"/>
        <w:rPr>
          <w:sz w:val="22"/>
          <w:szCs w:val="22"/>
        </w:rPr>
      </w:pPr>
      <w:r>
        <w:rPr>
          <w:sz w:val="22"/>
          <w:szCs w:val="22"/>
        </w:rPr>
        <w:tab/>
      </w:r>
      <w:r w:rsidR="00B465E3" w:rsidRPr="00B465E3">
        <w:rPr>
          <w:sz w:val="22"/>
          <w:szCs w:val="22"/>
        </w:rPr>
        <w:t>Using the crystal potential expression (1) the equations of motion of two cores and two shells can be written as</w:t>
      </w:r>
    </w:p>
    <w:p w:rsidR="00F461CC" w:rsidRDefault="00F461CC" w:rsidP="00F461CC">
      <w:pPr>
        <w:spacing w:before="120" w:line="324" w:lineRule="auto"/>
        <w:jc w:val="both"/>
        <w:rPr>
          <w:sz w:val="22"/>
          <w:szCs w:val="22"/>
        </w:rPr>
      </w:pPr>
      <w:r>
        <w:rPr>
          <w:sz w:val="22"/>
          <w:szCs w:val="22"/>
        </w:rPr>
        <w:tab/>
      </w:r>
      <w:r>
        <w:rPr>
          <w:sz w:val="22"/>
          <w:szCs w:val="22"/>
        </w:rPr>
        <w:tab/>
      </w:r>
      <w:r w:rsidR="00B465E3" w:rsidRPr="00B465E3">
        <w:rPr>
          <w:i/>
          <w:sz w:val="22"/>
          <w:szCs w:val="22"/>
        </w:rPr>
        <w:sym w:font="Symbol" w:char="0077"/>
      </w:r>
      <w:r w:rsidR="00B465E3" w:rsidRPr="00B465E3">
        <w:rPr>
          <w:i/>
          <w:sz w:val="22"/>
          <w:szCs w:val="22"/>
          <w:vertAlign w:val="superscript"/>
        </w:rPr>
        <w:t>2</w:t>
      </w:r>
      <w:r w:rsidR="00B465E3" w:rsidRPr="00B465E3">
        <w:rPr>
          <w:i/>
          <w:sz w:val="22"/>
          <w:szCs w:val="22"/>
          <w:u w:val="words"/>
        </w:rPr>
        <w:t xml:space="preserve">M U </w:t>
      </w:r>
      <w:r w:rsidR="00B465E3" w:rsidRPr="00B465E3">
        <w:rPr>
          <w:i/>
          <w:sz w:val="22"/>
          <w:szCs w:val="22"/>
        </w:rPr>
        <w:t>= (</w:t>
      </w:r>
      <w:r w:rsidR="00B465E3" w:rsidRPr="00B465E3">
        <w:rPr>
          <w:i/>
          <w:sz w:val="22"/>
          <w:szCs w:val="22"/>
          <w:u w:val="words"/>
        </w:rPr>
        <w:t xml:space="preserve">R </w:t>
      </w:r>
      <w:r w:rsidR="00B465E3" w:rsidRPr="00B465E3">
        <w:rPr>
          <w:i/>
          <w:sz w:val="22"/>
          <w:szCs w:val="22"/>
        </w:rPr>
        <w:t>+</w:t>
      </w:r>
      <w:r w:rsidR="00B465E3" w:rsidRPr="00B465E3">
        <w:rPr>
          <w:i/>
          <w:sz w:val="22"/>
          <w:szCs w:val="22"/>
          <w:u w:val="words"/>
        </w:rPr>
        <w:t xml:space="preserve"> Z</w:t>
      </w:r>
      <w:r w:rsidR="00B465E3" w:rsidRPr="00B465E3">
        <w:rPr>
          <w:i/>
          <w:sz w:val="22"/>
          <w:szCs w:val="22"/>
          <w:u w:val="words"/>
          <w:vertAlign w:val="subscript"/>
        </w:rPr>
        <w:t>m</w:t>
      </w:r>
      <w:r w:rsidR="00B465E3" w:rsidRPr="00B465E3">
        <w:rPr>
          <w:i/>
          <w:sz w:val="22"/>
          <w:szCs w:val="22"/>
          <w:u w:val="words"/>
        </w:rPr>
        <w:t xml:space="preserve"> C' Z</w:t>
      </w:r>
      <w:r w:rsidR="00B465E3" w:rsidRPr="00B465E3">
        <w:rPr>
          <w:i/>
          <w:sz w:val="22"/>
          <w:szCs w:val="22"/>
          <w:u w:val="words"/>
          <w:vertAlign w:val="subscript"/>
        </w:rPr>
        <w:t>m</w:t>
      </w:r>
      <w:r w:rsidR="00B465E3" w:rsidRPr="00B465E3">
        <w:rPr>
          <w:i/>
          <w:sz w:val="22"/>
          <w:szCs w:val="22"/>
        </w:rPr>
        <w:t xml:space="preserve">) </w:t>
      </w:r>
      <w:r w:rsidR="00B465E3" w:rsidRPr="00B465E3">
        <w:rPr>
          <w:i/>
          <w:sz w:val="22"/>
          <w:szCs w:val="22"/>
          <w:u w:val="single"/>
        </w:rPr>
        <w:t>U</w:t>
      </w:r>
      <w:r w:rsidR="00B465E3" w:rsidRPr="00B465E3">
        <w:rPr>
          <w:i/>
          <w:sz w:val="22"/>
          <w:szCs w:val="22"/>
        </w:rPr>
        <w:t xml:space="preserve"> + (</w:t>
      </w:r>
      <w:r w:rsidR="00B465E3" w:rsidRPr="00B465E3">
        <w:rPr>
          <w:i/>
          <w:sz w:val="22"/>
          <w:szCs w:val="22"/>
          <w:u w:val="single"/>
        </w:rPr>
        <w:t>T</w:t>
      </w:r>
      <w:r w:rsidR="00B465E3" w:rsidRPr="00B465E3">
        <w:rPr>
          <w:i/>
          <w:sz w:val="22"/>
          <w:szCs w:val="22"/>
        </w:rPr>
        <w:t xml:space="preserve"> + </w:t>
      </w:r>
      <w:r w:rsidR="00B465E3" w:rsidRPr="00B465E3">
        <w:rPr>
          <w:i/>
          <w:sz w:val="22"/>
          <w:szCs w:val="22"/>
          <w:u w:val="words"/>
        </w:rPr>
        <w:t>Z</w:t>
      </w:r>
      <w:r w:rsidR="00B465E3" w:rsidRPr="00B465E3">
        <w:rPr>
          <w:i/>
          <w:sz w:val="22"/>
          <w:szCs w:val="22"/>
          <w:u w:val="words"/>
          <w:vertAlign w:val="subscript"/>
        </w:rPr>
        <w:t>m</w:t>
      </w:r>
      <w:r w:rsidR="00B465E3" w:rsidRPr="00B465E3">
        <w:rPr>
          <w:i/>
          <w:sz w:val="22"/>
          <w:szCs w:val="22"/>
          <w:u w:val="words"/>
        </w:rPr>
        <w:t xml:space="preserve"> C' Y</w:t>
      </w:r>
      <w:r w:rsidR="00B465E3" w:rsidRPr="00B465E3">
        <w:rPr>
          <w:i/>
          <w:sz w:val="22"/>
          <w:szCs w:val="22"/>
          <w:u w:val="words"/>
          <w:vertAlign w:val="subscript"/>
        </w:rPr>
        <w:t>m</w:t>
      </w:r>
      <w:r w:rsidR="00B465E3" w:rsidRPr="00B465E3">
        <w:rPr>
          <w:i/>
          <w:sz w:val="22"/>
          <w:szCs w:val="22"/>
        </w:rPr>
        <w:t xml:space="preserve">) </w:t>
      </w:r>
      <w:r w:rsidR="00B465E3" w:rsidRPr="00B465E3">
        <w:rPr>
          <w:i/>
          <w:sz w:val="22"/>
          <w:szCs w:val="22"/>
          <w:u w:val="words"/>
        </w:rPr>
        <w:t>W</w:t>
      </w:r>
      <w:r w:rsidR="00B465E3" w:rsidRPr="00B465E3">
        <w:rPr>
          <w:sz w:val="22"/>
          <w:szCs w:val="22"/>
          <w:u w:val="words"/>
        </w:rPr>
        <w:tab/>
      </w:r>
      <w:r>
        <w:rPr>
          <w:sz w:val="22"/>
          <w:szCs w:val="22"/>
          <w:u w:val="words"/>
        </w:rPr>
        <w:tab/>
      </w:r>
      <w:r>
        <w:rPr>
          <w:sz w:val="22"/>
          <w:szCs w:val="22"/>
          <w:u w:val="words"/>
        </w:rPr>
        <w:tab/>
      </w:r>
      <w:r w:rsidR="00B465E3" w:rsidRPr="00B465E3">
        <w:rPr>
          <w:sz w:val="22"/>
          <w:szCs w:val="22"/>
        </w:rPr>
        <w:t>(2)</w:t>
      </w:r>
    </w:p>
    <w:p w:rsidR="00F461CC" w:rsidRDefault="00F461CC" w:rsidP="00F461CC">
      <w:pPr>
        <w:spacing w:before="120" w:line="324" w:lineRule="auto"/>
        <w:jc w:val="both"/>
        <w:rPr>
          <w:sz w:val="22"/>
          <w:szCs w:val="22"/>
        </w:rPr>
      </w:pPr>
      <w:r>
        <w:rPr>
          <w:sz w:val="22"/>
          <w:szCs w:val="22"/>
        </w:rPr>
        <w:tab/>
      </w:r>
      <w:r>
        <w:rPr>
          <w:sz w:val="22"/>
          <w:szCs w:val="22"/>
        </w:rPr>
        <w:tab/>
      </w:r>
      <w:r w:rsidR="00B465E3" w:rsidRPr="00B465E3">
        <w:rPr>
          <w:i/>
          <w:sz w:val="22"/>
          <w:szCs w:val="22"/>
        </w:rPr>
        <w:t>O = (</w:t>
      </w:r>
      <w:r w:rsidR="00B465E3" w:rsidRPr="00B465E3">
        <w:rPr>
          <w:i/>
          <w:sz w:val="22"/>
          <w:szCs w:val="22"/>
          <w:u w:val="single"/>
        </w:rPr>
        <w:t>T</w:t>
      </w:r>
      <w:r w:rsidR="00B465E3" w:rsidRPr="00B465E3">
        <w:rPr>
          <w:i/>
          <w:sz w:val="22"/>
          <w:szCs w:val="22"/>
          <w:vertAlign w:val="superscript"/>
        </w:rPr>
        <w:t>T</w:t>
      </w:r>
      <w:r w:rsidR="00B465E3" w:rsidRPr="00B465E3">
        <w:rPr>
          <w:i/>
          <w:sz w:val="22"/>
          <w:szCs w:val="22"/>
        </w:rPr>
        <w:t xml:space="preserve"> + </w:t>
      </w:r>
      <w:r w:rsidR="00B465E3" w:rsidRPr="00B465E3">
        <w:rPr>
          <w:i/>
          <w:sz w:val="22"/>
          <w:szCs w:val="22"/>
          <w:u w:val="words"/>
        </w:rPr>
        <w:t>Y</w:t>
      </w:r>
      <w:r w:rsidR="00B465E3" w:rsidRPr="00B465E3">
        <w:rPr>
          <w:i/>
          <w:sz w:val="22"/>
          <w:szCs w:val="22"/>
          <w:u w:val="words"/>
          <w:vertAlign w:val="subscript"/>
        </w:rPr>
        <w:t>m</w:t>
      </w:r>
      <w:r w:rsidR="00B465E3" w:rsidRPr="00B465E3">
        <w:rPr>
          <w:i/>
          <w:sz w:val="22"/>
          <w:szCs w:val="22"/>
          <w:u w:val="words"/>
        </w:rPr>
        <w:t xml:space="preserve"> C' Z</w:t>
      </w:r>
      <w:r w:rsidR="00B465E3" w:rsidRPr="00B465E3">
        <w:rPr>
          <w:i/>
          <w:sz w:val="22"/>
          <w:szCs w:val="22"/>
          <w:u w:val="words"/>
          <w:vertAlign w:val="subscript"/>
        </w:rPr>
        <w:t>m</w:t>
      </w:r>
      <w:r w:rsidR="00B465E3" w:rsidRPr="00B465E3">
        <w:rPr>
          <w:i/>
          <w:sz w:val="22"/>
          <w:szCs w:val="22"/>
        </w:rPr>
        <w:t xml:space="preserve">) </w:t>
      </w:r>
      <w:r w:rsidR="00B465E3" w:rsidRPr="00B465E3">
        <w:rPr>
          <w:i/>
          <w:sz w:val="22"/>
          <w:szCs w:val="22"/>
          <w:u w:val="single"/>
        </w:rPr>
        <w:t>U</w:t>
      </w:r>
      <w:r w:rsidR="00B465E3" w:rsidRPr="00B465E3">
        <w:rPr>
          <w:i/>
          <w:sz w:val="22"/>
          <w:szCs w:val="22"/>
        </w:rPr>
        <w:t xml:space="preserve"> + (</w:t>
      </w:r>
      <w:r w:rsidR="00B465E3" w:rsidRPr="00B465E3">
        <w:rPr>
          <w:i/>
          <w:sz w:val="22"/>
          <w:szCs w:val="22"/>
          <w:u w:val="single"/>
        </w:rPr>
        <w:t>S</w:t>
      </w:r>
      <w:r w:rsidR="00B465E3" w:rsidRPr="00B465E3">
        <w:rPr>
          <w:i/>
          <w:sz w:val="22"/>
          <w:szCs w:val="22"/>
        </w:rPr>
        <w:t xml:space="preserve"> + </w:t>
      </w:r>
      <w:r w:rsidR="00B465E3" w:rsidRPr="00B465E3">
        <w:rPr>
          <w:i/>
          <w:sz w:val="22"/>
          <w:szCs w:val="22"/>
          <w:u w:val="words"/>
        </w:rPr>
        <w:t xml:space="preserve">K </w:t>
      </w:r>
      <w:r w:rsidR="00B465E3" w:rsidRPr="00B465E3">
        <w:rPr>
          <w:i/>
          <w:sz w:val="22"/>
          <w:szCs w:val="22"/>
        </w:rPr>
        <w:t>+</w:t>
      </w:r>
      <w:r w:rsidR="00B465E3" w:rsidRPr="00B465E3">
        <w:rPr>
          <w:i/>
          <w:sz w:val="22"/>
          <w:szCs w:val="22"/>
          <w:u w:val="words"/>
        </w:rPr>
        <w:t xml:space="preserve"> Y</w:t>
      </w:r>
      <w:r w:rsidR="00B465E3" w:rsidRPr="00B465E3">
        <w:rPr>
          <w:i/>
          <w:sz w:val="22"/>
          <w:szCs w:val="22"/>
          <w:u w:val="words"/>
          <w:vertAlign w:val="subscript"/>
        </w:rPr>
        <w:t>m</w:t>
      </w:r>
      <w:r w:rsidR="00B465E3" w:rsidRPr="00B465E3">
        <w:rPr>
          <w:i/>
          <w:sz w:val="22"/>
          <w:szCs w:val="22"/>
          <w:u w:val="words"/>
        </w:rPr>
        <w:t xml:space="preserve"> C' Y</w:t>
      </w:r>
      <w:r w:rsidR="00B465E3" w:rsidRPr="00B465E3">
        <w:rPr>
          <w:i/>
          <w:sz w:val="22"/>
          <w:szCs w:val="22"/>
          <w:u w:val="words"/>
          <w:vertAlign w:val="subscript"/>
        </w:rPr>
        <w:t>m</w:t>
      </w:r>
      <w:r w:rsidR="00B465E3" w:rsidRPr="00B465E3">
        <w:rPr>
          <w:i/>
          <w:sz w:val="22"/>
          <w:szCs w:val="22"/>
        </w:rPr>
        <w:t xml:space="preserve">) </w:t>
      </w:r>
      <w:r w:rsidR="00B465E3" w:rsidRPr="00B465E3">
        <w:rPr>
          <w:i/>
          <w:sz w:val="22"/>
          <w:szCs w:val="22"/>
          <w:u w:val="words"/>
        </w:rPr>
        <w:t>W</w:t>
      </w:r>
      <w:r w:rsidR="00B465E3" w:rsidRPr="00B465E3">
        <w:rPr>
          <w:sz w:val="22"/>
          <w:szCs w:val="22"/>
          <w:u w:val="words"/>
        </w:rPr>
        <w:tab/>
      </w:r>
      <w:r>
        <w:rPr>
          <w:sz w:val="22"/>
          <w:szCs w:val="22"/>
          <w:u w:val="words"/>
        </w:rPr>
        <w:tab/>
      </w:r>
      <w:r>
        <w:rPr>
          <w:sz w:val="22"/>
          <w:szCs w:val="22"/>
          <w:u w:val="words"/>
        </w:rPr>
        <w:tab/>
      </w:r>
      <w:r w:rsidR="00B465E3" w:rsidRPr="00B465E3">
        <w:rPr>
          <w:sz w:val="22"/>
          <w:szCs w:val="22"/>
        </w:rPr>
        <w:t>(3)</w:t>
      </w:r>
    </w:p>
    <w:p w:rsidR="000B2E52" w:rsidRDefault="00F461CC" w:rsidP="000B2E52">
      <w:pPr>
        <w:spacing w:before="120" w:line="324" w:lineRule="auto"/>
        <w:jc w:val="both"/>
        <w:rPr>
          <w:sz w:val="22"/>
          <w:szCs w:val="22"/>
        </w:rPr>
      </w:pPr>
      <w:r>
        <w:rPr>
          <w:sz w:val="22"/>
          <w:szCs w:val="22"/>
        </w:rPr>
        <w:lastRenderedPageBreak/>
        <w:tab/>
      </w:r>
      <w:r w:rsidR="00B465E3" w:rsidRPr="00B465E3">
        <w:rPr>
          <w:sz w:val="22"/>
          <w:szCs w:val="22"/>
        </w:rPr>
        <w:t>Here U and W are vectors describing the ionic displacements and deformations, respectively. Z</w:t>
      </w:r>
      <w:r w:rsidR="00B465E3" w:rsidRPr="00B465E3">
        <w:rPr>
          <w:sz w:val="22"/>
          <w:szCs w:val="22"/>
          <w:vertAlign w:val="subscript"/>
        </w:rPr>
        <w:t>m</w:t>
      </w:r>
      <w:r w:rsidR="00B465E3" w:rsidRPr="00B465E3">
        <w:rPr>
          <w:sz w:val="22"/>
          <w:szCs w:val="22"/>
        </w:rPr>
        <w:t xml:space="preserve"> and Y</w:t>
      </w:r>
      <w:r w:rsidR="00B465E3" w:rsidRPr="00B465E3">
        <w:rPr>
          <w:sz w:val="22"/>
          <w:szCs w:val="22"/>
          <w:vertAlign w:val="subscript"/>
        </w:rPr>
        <w:t>m</w:t>
      </w:r>
      <w:r w:rsidR="00B465E3" w:rsidRPr="00B465E3">
        <w:rPr>
          <w:sz w:val="22"/>
          <w:szCs w:val="22"/>
        </w:rPr>
        <w:t xml:space="preserve"> are diagonal matrices of modified ionic charges and shell charges, respectively. The elements of matrix Z</w:t>
      </w:r>
      <w:r w:rsidR="00B465E3" w:rsidRPr="00B465E3">
        <w:rPr>
          <w:sz w:val="22"/>
          <w:szCs w:val="22"/>
          <w:vertAlign w:val="subscript"/>
        </w:rPr>
        <w:t>m</w:t>
      </w:r>
      <w:r w:rsidR="00B465E3" w:rsidRPr="00B465E3">
        <w:rPr>
          <w:sz w:val="22"/>
          <w:szCs w:val="22"/>
        </w:rPr>
        <w:t xml:space="preserve"> consists of the parameter Z</w:t>
      </w:r>
      <w:r w:rsidR="00B465E3" w:rsidRPr="00B465E3">
        <w:rPr>
          <w:sz w:val="22"/>
          <w:szCs w:val="22"/>
          <w:vertAlign w:val="subscript"/>
        </w:rPr>
        <w:t>m</w:t>
      </w:r>
      <w:r w:rsidR="00B465E3" w:rsidRPr="00B465E3">
        <w:rPr>
          <w:sz w:val="22"/>
          <w:szCs w:val="22"/>
        </w:rPr>
        <w:t xml:space="preserve"> g</w:t>
      </w:r>
      <w:r w:rsidR="00D666E9">
        <w:rPr>
          <w:sz w:val="22"/>
          <w:szCs w:val="22"/>
        </w:rPr>
        <w:t>iving the modified ionic charge</w:t>
      </w:r>
    </w:p>
    <w:p w:rsidR="000B2E52" w:rsidRPr="0070155C" w:rsidRDefault="000B2E52" w:rsidP="000B2E52">
      <w:pPr>
        <w:spacing w:before="120" w:line="324" w:lineRule="auto"/>
        <w:jc w:val="both"/>
        <w:rPr>
          <w:sz w:val="22"/>
          <w:szCs w:val="22"/>
        </w:rPr>
      </w:pPr>
      <w:r w:rsidRPr="0070155C">
        <w:rPr>
          <w:sz w:val="22"/>
          <w:szCs w:val="22"/>
        </w:rPr>
        <w:tab/>
      </w:r>
      <w:r w:rsidRPr="0070155C">
        <w:rPr>
          <w:sz w:val="22"/>
          <w:szCs w:val="22"/>
        </w:rPr>
        <w:tab/>
      </w:r>
      <w:r w:rsidR="00EB033E" w:rsidRPr="0070155C">
        <w:rPr>
          <w:sz w:val="22"/>
          <w:szCs w:val="22"/>
        </w:rPr>
        <w:t>Z</w:t>
      </w:r>
      <w:r w:rsidR="00EB033E" w:rsidRPr="0070155C">
        <w:rPr>
          <w:sz w:val="22"/>
          <w:szCs w:val="22"/>
          <w:vertAlign w:val="subscript"/>
        </w:rPr>
        <w:t>m</w:t>
      </w:r>
      <w:r w:rsidR="00EB033E" w:rsidRPr="0070155C">
        <w:rPr>
          <w:sz w:val="22"/>
          <w:szCs w:val="22"/>
        </w:rPr>
        <w:t xml:space="preserve"> = Z</w:t>
      </w:r>
      <w:r w:rsidR="00EB033E" w:rsidRPr="0070155C">
        <w:rPr>
          <w:sz w:val="22"/>
          <w:szCs w:val="22"/>
        </w:rPr>
        <w:sym w:font="Symbol" w:char="F078"/>
      </w:r>
      <w:r w:rsidR="00EB033E" w:rsidRPr="0070155C">
        <w:rPr>
          <w:sz w:val="22"/>
          <w:szCs w:val="22"/>
        </w:rPr>
        <w:t xml:space="preserve"> = </w:t>
      </w:r>
      <w:r w:rsidR="00EB033E" w:rsidRPr="0070155C">
        <w:rPr>
          <w:sz w:val="22"/>
          <w:szCs w:val="22"/>
        </w:rPr>
        <w:sym w:font="Symbol" w:char="F0B1"/>
      </w:r>
      <w:r w:rsidR="00EB033E" w:rsidRPr="0070155C">
        <w:rPr>
          <w:sz w:val="22"/>
          <w:szCs w:val="22"/>
        </w:rPr>
        <w:t xml:space="preserve"> Z</w:t>
      </w:r>
      <w:r w:rsidR="00EB033E" w:rsidRPr="0070155C">
        <w:rPr>
          <w:sz w:val="22"/>
          <w:szCs w:val="22"/>
        </w:rPr>
        <w:sym w:font="Symbol" w:char="F0D6"/>
      </w:r>
      <w:r w:rsidR="00EB033E" w:rsidRPr="0070155C">
        <w:rPr>
          <w:sz w:val="22"/>
          <w:szCs w:val="22"/>
        </w:rPr>
        <w:t>1+ (n/Z)</w:t>
      </w:r>
      <w:r w:rsidR="00EB033E" w:rsidRPr="0070155C">
        <w:rPr>
          <w:i/>
          <w:sz w:val="22"/>
          <w:szCs w:val="22"/>
        </w:rPr>
        <w:t>f</w:t>
      </w:r>
      <w:r w:rsidR="00EB033E" w:rsidRPr="0070155C">
        <w:rPr>
          <w:sz w:val="22"/>
          <w:szCs w:val="22"/>
          <w:vertAlign w:val="subscript"/>
        </w:rPr>
        <w:t>0</w:t>
      </w:r>
      <w:r w:rsidR="00D666E9">
        <w:rPr>
          <w:sz w:val="22"/>
          <w:szCs w:val="22"/>
        </w:rPr>
        <w:t>.</w:t>
      </w:r>
      <w:r w:rsidR="00D666E9">
        <w:rPr>
          <w:sz w:val="22"/>
          <w:szCs w:val="22"/>
        </w:rPr>
        <w:tab/>
      </w:r>
      <w:r w:rsidR="00D666E9">
        <w:rPr>
          <w:sz w:val="22"/>
          <w:szCs w:val="22"/>
        </w:rPr>
        <w:tab/>
      </w:r>
      <w:r w:rsidR="00EB033E" w:rsidRPr="0070155C">
        <w:rPr>
          <w:sz w:val="22"/>
          <w:szCs w:val="22"/>
        </w:rPr>
        <w:tab/>
      </w:r>
      <w:r w:rsidR="00EB033E" w:rsidRPr="0070155C">
        <w:rPr>
          <w:sz w:val="22"/>
          <w:szCs w:val="22"/>
        </w:rPr>
        <w:tab/>
      </w:r>
      <w:r w:rsidR="00EB033E" w:rsidRPr="0070155C">
        <w:rPr>
          <w:sz w:val="22"/>
          <w:szCs w:val="22"/>
        </w:rPr>
        <w:tab/>
      </w:r>
      <w:r w:rsidR="00B465E3" w:rsidRPr="0070155C">
        <w:rPr>
          <w:sz w:val="22"/>
          <w:szCs w:val="22"/>
        </w:rPr>
        <w:t>(4)</w:t>
      </w:r>
    </w:p>
    <w:p w:rsidR="00B45083" w:rsidRDefault="000B2E52" w:rsidP="00B45083">
      <w:pPr>
        <w:spacing w:before="120" w:line="324" w:lineRule="auto"/>
        <w:jc w:val="both"/>
        <w:rPr>
          <w:sz w:val="22"/>
          <w:szCs w:val="22"/>
        </w:rPr>
      </w:pPr>
      <w:r>
        <w:rPr>
          <w:sz w:val="22"/>
          <w:szCs w:val="22"/>
        </w:rPr>
        <w:tab/>
      </w:r>
      <w:r w:rsidR="00B465E3" w:rsidRPr="00B465E3">
        <w:rPr>
          <w:sz w:val="22"/>
          <w:szCs w:val="22"/>
        </w:rPr>
        <w:t>This means that the ionic charge parameter (Z) of rigid shell model gets modified by a factor {1+(12/Z)f</w:t>
      </w:r>
      <w:r w:rsidR="00B465E3" w:rsidRPr="00B465E3">
        <w:rPr>
          <w:sz w:val="22"/>
          <w:szCs w:val="22"/>
          <w:vertAlign w:val="subscript"/>
        </w:rPr>
        <w:t>0</w:t>
      </w:r>
      <w:r w:rsidR="00B45083">
        <w:rPr>
          <w:sz w:val="22"/>
          <w:szCs w:val="22"/>
        </w:rPr>
        <w:t>} for NaCl – structure</w:t>
      </w:r>
      <w:r w:rsidR="00B465E3" w:rsidRPr="00B465E3">
        <w:rPr>
          <w:sz w:val="22"/>
          <w:szCs w:val="22"/>
        </w:rPr>
        <w:t>.</w:t>
      </w:r>
    </w:p>
    <w:p w:rsidR="00B45083" w:rsidRDefault="00B465E3" w:rsidP="00B45083">
      <w:pPr>
        <w:spacing w:before="120" w:line="324" w:lineRule="auto"/>
        <w:jc w:val="both"/>
        <w:rPr>
          <w:sz w:val="22"/>
          <w:szCs w:val="22"/>
        </w:rPr>
      </w:pPr>
      <w:r w:rsidRPr="00B465E3">
        <w:rPr>
          <w:sz w:val="22"/>
          <w:szCs w:val="22"/>
        </w:rPr>
        <w:t>The elimination of W from equations (2) and (3) leads to the secular determinant:</w:t>
      </w:r>
    </w:p>
    <w:p w:rsidR="00B45083" w:rsidRDefault="00B45083" w:rsidP="00B45083">
      <w:pPr>
        <w:spacing w:before="120" w:line="324" w:lineRule="auto"/>
        <w:jc w:val="both"/>
        <w:rPr>
          <w:sz w:val="22"/>
          <w:szCs w:val="22"/>
        </w:rPr>
      </w:pPr>
      <w:r>
        <w:rPr>
          <w:sz w:val="22"/>
          <w:szCs w:val="22"/>
        </w:rPr>
        <w:tab/>
      </w:r>
      <w:r>
        <w:rPr>
          <w:sz w:val="22"/>
          <w:szCs w:val="22"/>
        </w:rPr>
        <w:tab/>
      </w:r>
      <w:r w:rsidR="00543040" w:rsidRPr="00543040">
        <w:rPr>
          <w:position w:val="-16"/>
          <w:sz w:val="22"/>
          <w:szCs w:val="22"/>
        </w:rPr>
        <w:object w:dxaOrig="16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1.75pt" o:ole="">
            <v:imagedata r:id="rId8" o:title=""/>
          </v:shape>
          <o:OLEObject Type="Embed" ProgID="Equation.3" ShapeID="_x0000_i1025" DrawAspect="Content" ObjectID="_1530517832" r:id="rId9"/>
        </w:object>
      </w:r>
      <w:r w:rsidR="00B465E3" w:rsidRPr="00B465E3">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465E3" w:rsidRPr="00B465E3">
        <w:rPr>
          <w:sz w:val="22"/>
          <w:szCs w:val="22"/>
        </w:rPr>
        <w:t>(5)</w:t>
      </w:r>
    </w:p>
    <w:p w:rsidR="00B465E3" w:rsidRDefault="00B465E3" w:rsidP="00B45083">
      <w:pPr>
        <w:spacing w:before="120" w:line="324" w:lineRule="auto"/>
        <w:jc w:val="both"/>
        <w:rPr>
          <w:sz w:val="22"/>
          <w:szCs w:val="22"/>
        </w:rPr>
      </w:pPr>
      <w:r w:rsidRPr="00B465E3">
        <w:rPr>
          <w:sz w:val="22"/>
          <w:szCs w:val="22"/>
        </w:rPr>
        <w:t>Here D (q) is the (6×6) dynamical matrix given by</w:t>
      </w:r>
    </w:p>
    <w:p w:rsidR="007B4D9E" w:rsidRDefault="007B4D9E" w:rsidP="00B45083">
      <w:pPr>
        <w:spacing w:before="120" w:line="324" w:lineRule="auto"/>
        <w:jc w:val="both"/>
        <w:rPr>
          <w:sz w:val="22"/>
          <w:szCs w:val="22"/>
        </w:rPr>
      </w:pPr>
      <w:r>
        <w:rPr>
          <w:sz w:val="22"/>
          <w:szCs w:val="22"/>
        </w:rPr>
        <w:tab/>
      </w:r>
      <w:r>
        <w:rPr>
          <w:sz w:val="22"/>
          <w:szCs w:val="22"/>
        </w:rPr>
        <w:tab/>
      </w:r>
      <w:r w:rsidRPr="007B4D9E">
        <w:rPr>
          <w:position w:val="-10"/>
          <w:sz w:val="22"/>
          <w:szCs w:val="22"/>
        </w:rPr>
        <w:object w:dxaOrig="3760" w:dyaOrig="320">
          <v:shape id="_x0000_i1026" type="#_x0000_t75" style="width:188.25pt;height:15.75pt" o:ole="">
            <v:imagedata r:id="rId10" o:title=""/>
          </v:shape>
          <o:OLEObject Type="Embed" ProgID="Equation.3" ShapeID="_x0000_i1026" DrawAspect="Content" ObjectID="_1530517833" r:id="rId11"/>
        </w:object>
      </w:r>
    </w:p>
    <w:p w:rsidR="007B4D9E" w:rsidRDefault="007B4D9E" w:rsidP="007B4D9E">
      <w:pPr>
        <w:spacing w:before="120" w:line="324" w:lineRule="auto"/>
        <w:jc w:val="both"/>
      </w:pPr>
      <w:r>
        <w:tab/>
      </w:r>
      <w:r>
        <w:tab/>
      </w:r>
      <w:r>
        <w:tab/>
      </w:r>
      <w:r w:rsidRPr="00423F4F">
        <w:rPr>
          <w:position w:val="-10"/>
        </w:rPr>
        <w:object w:dxaOrig="4000" w:dyaOrig="360">
          <v:shape id="_x0000_i1027" type="#_x0000_t75" style="width:200.25pt;height:18pt" o:ole="">
            <v:imagedata r:id="rId12" o:title=""/>
          </v:shape>
          <o:OLEObject Type="Embed" ProgID="Equation.3" ShapeID="_x0000_i1027" DrawAspect="Content" ObjectID="_1530517834" r:id="rId13"/>
        </w:object>
      </w:r>
      <w:r w:rsidR="00D666E9">
        <w:t>.</w:t>
      </w:r>
      <w:r>
        <w:tab/>
      </w:r>
      <w:r>
        <w:tab/>
        <w:t>(6)</w:t>
      </w:r>
    </w:p>
    <w:p w:rsidR="00543040" w:rsidRDefault="007B4D9E" w:rsidP="00543040">
      <w:pPr>
        <w:spacing w:before="120" w:line="324" w:lineRule="auto"/>
        <w:jc w:val="both"/>
        <w:rPr>
          <w:sz w:val="22"/>
          <w:szCs w:val="22"/>
        </w:rPr>
      </w:pPr>
      <w:r>
        <w:tab/>
      </w:r>
      <w:r w:rsidR="00B465E3" w:rsidRPr="00B465E3">
        <w:rPr>
          <w:sz w:val="22"/>
          <w:szCs w:val="22"/>
        </w:rPr>
        <w:t>The dynamical matrix, given by equation (5), is a matrix (6×6) leading to six vibrational frequencies (</w:t>
      </w:r>
      <w:r w:rsidR="00B465E3" w:rsidRPr="00B465E3">
        <w:rPr>
          <w:sz w:val="22"/>
          <w:szCs w:val="22"/>
        </w:rPr>
        <w:sym w:font="Symbol" w:char="F077"/>
      </w:r>
      <w:r w:rsidR="00B465E3" w:rsidRPr="00B465E3">
        <w:rPr>
          <w:sz w:val="22"/>
          <w:szCs w:val="22"/>
          <w:vertAlign w:val="subscript"/>
        </w:rPr>
        <w:t>j</w:t>
      </w:r>
      <w:r w:rsidR="00B465E3" w:rsidRPr="00B465E3">
        <w:rPr>
          <w:sz w:val="22"/>
          <w:szCs w:val="22"/>
        </w:rPr>
        <w:t>) corresponding each phonon wave vector</w:t>
      </w:r>
      <w:r w:rsidR="00543040" w:rsidRPr="00543040">
        <w:rPr>
          <w:position w:val="-10"/>
          <w:sz w:val="22"/>
          <w:szCs w:val="22"/>
        </w:rPr>
        <w:object w:dxaOrig="320" w:dyaOrig="320">
          <v:shape id="_x0000_i1028" type="#_x0000_t75" style="width:16.5pt;height:13.5pt" o:ole="">
            <v:imagedata r:id="rId14" o:title=""/>
          </v:shape>
          <o:OLEObject Type="Embed" ProgID="Equation.3" ShapeID="_x0000_i1028" DrawAspect="Content" ObjectID="_1530517835" r:id="rId15"/>
        </w:object>
      </w:r>
      <w:r w:rsidR="00B465E3" w:rsidRPr="00B465E3">
        <w:rPr>
          <w:sz w:val="22"/>
          <w:szCs w:val="22"/>
        </w:rPr>
        <w:t xml:space="preserve">. For wave-vector </w:t>
      </w:r>
      <w:r w:rsidR="00543040" w:rsidRPr="00543040">
        <w:rPr>
          <w:position w:val="-10"/>
          <w:sz w:val="22"/>
          <w:szCs w:val="22"/>
        </w:rPr>
        <w:object w:dxaOrig="320" w:dyaOrig="320">
          <v:shape id="_x0000_i1029" type="#_x0000_t75" style="width:16.5pt;height:13.5pt" o:ole="">
            <v:imagedata r:id="rId16" o:title=""/>
          </v:shape>
          <o:OLEObject Type="Embed" ProgID="Equation.3" ShapeID="_x0000_i1029" DrawAspect="Content" ObjectID="_1530517836" r:id="rId17"/>
        </w:object>
      </w:r>
      <w:r w:rsidR="00B465E3" w:rsidRPr="00B465E3">
        <w:rPr>
          <w:sz w:val="22"/>
          <w:szCs w:val="22"/>
        </w:rPr>
        <w:t xml:space="preserve"> along the principal symmetry directions (Γ, Χ, L, Δ) for NaCl in the Brillouin zone </w:t>
      </w:r>
      <w:r w:rsidR="00543040" w:rsidRPr="00543040">
        <w:rPr>
          <w:position w:val="-10"/>
          <w:sz w:val="22"/>
          <w:szCs w:val="22"/>
        </w:rPr>
        <w:object w:dxaOrig="560" w:dyaOrig="320">
          <v:shape id="_x0000_i1030" type="#_x0000_t75" style="width:27.75pt;height:11.25pt" o:ole="">
            <v:imagedata r:id="rId18" o:title=""/>
          </v:shape>
          <o:OLEObject Type="Embed" ProgID="Equation.3" ShapeID="_x0000_i1030" DrawAspect="Content" ObjectID="_1530517837" r:id="rId19"/>
        </w:object>
      </w:r>
      <w:r w:rsidR="00B465E3" w:rsidRPr="00B465E3">
        <w:rPr>
          <w:sz w:val="22"/>
          <w:szCs w:val="22"/>
        </w:rPr>
        <w:t xml:space="preserve"> can be reduced to lower order (2×2) matrices which simplifies the computational work in solving the characteristic equation (6) and also the number of distinct branches of the dispersion relations get reduced because of the degeneracy.</w:t>
      </w:r>
    </w:p>
    <w:p w:rsidR="00543040" w:rsidRDefault="00B465E3" w:rsidP="00543040">
      <w:pPr>
        <w:spacing w:before="240"/>
        <w:jc w:val="both"/>
        <w:rPr>
          <w:b/>
          <w:i/>
          <w:sz w:val="22"/>
          <w:szCs w:val="22"/>
        </w:rPr>
      </w:pPr>
      <w:r w:rsidRPr="00543040">
        <w:rPr>
          <w:b/>
          <w:i/>
          <w:sz w:val="22"/>
          <w:szCs w:val="22"/>
        </w:rPr>
        <w:t>Results</w:t>
      </w:r>
      <w:r w:rsidR="00543040" w:rsidRPr="00543040">
        <w:rPr>
          <w:b/>
          <w:i/>
          <w:sz w:val="22"/>
          <w:szCs w:val="22"/>
        </w:rPr>
        <w:t xml:space="preserve"> and</w:t>
      </w:r>
      <w:r w:rsidR="00543040">
        <w:rPr>
          <w:b/>
          <w:i/>
          <w:sz w:val="22"/>
          <w:szCs w:val="22"/>
        </w:rPr>
        <w:t xml:space="preserve"> </w:t>
      </w:r>
      <w:r w:rsidRPr="00543040">
        <w:rPr>
          <w:b/>
          <w:i/>
          <w:sz w:val="22"/>
          <w:szCs w:val="22"/>
        </w:rPr>
        <w:t xml:space="preserve">Discussion </w:t>
      </w:r>
      <w:r w:rsidR="00A63CC3">
        <w:rPr>
          <w:b/>
          <w: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78pt;margin-top:105.3pt;width:36pt;height:18pt;z-index:251662336;mso-wrap-edited:f;mso-position-horizontal-relative:text;mso-position-vertical-relative:text" wrapcoords="-4320 0 -4320 21600 25920 21600 25920 0 -4320 0" o:allowincell="f" filled="f" stroked="f">
            <v:textbox style="mso-next-textbox:#_x0000_s1027" inset="0,0,0,0">
              <w:txbxContent>
                <w:p w:rsidR="00B465E3" w:rsidRDefault="00B465E3" w:rsidP="00B465E3">
                  <w:pPr>
                    <w:tabs>
                      <w:tab w:val="left" w:pos="7200"/>
                    </w:tabs>
                    <w:jc w:val="both"/>
                    <w:rPr>
                      <w:sz w:val="28"/>
                    </w:rPr>
                  </w:pPr>
                </w:p>
              </w:txbxContent>
            </v:textbox>
          </v:shape>
        </w:pict>
      </w:r>
      <w:r w:rsidR="00543040" w:rsidRPr="00543040">
        <w:rPr>
          <w:b/>
          <w:i/>
          <w:sz w:val="22"/>
          <w:szCs w:val="22"/>
        </w:rPr>
        <w:t xml:space="preserve"> :</w:t>
      </w:r>
    </w:p>
    <w:p w:rsidR="00543040" w:rsidRPr="00543040" w:rsidRDefault="00B465E3" w:rsidP="00543040">
      <w:pPr>
        <w:spacing w:before="120"/>
        <w:jc w:val="both"/>
        <w:rPr>
          <w:b/>
          <w:sz w:val="22"/>
          <w:szCs w:val="22"/>
        </w:rPr>
      </w:pPr>
      <w:r w:rsidRPr="00543040">
        <w:rPr>
          <w:b/>
          <w:sz w:val="22"/>
          <w:szCs w:val="22"/>
        </w:rPr>
        <w:t>1. Phonon Dispersion Curves for Dysprosium monopnictides (DyP)</w:t>
      </w:r>
      <w:r w:rsidR="00543040" w:rsidRPr="00543040">
        <w:rPr>
          <w:b/>
          <w:sz w:val="22"/>
          <w:szCs w:val="22"/>
        </w:rPr>
        <w:t xml:space="preserve"> –</w:t>
      </w:r>
    </w:p>
    <w:p w:rsidR="00B465E3" w:rsidRDefault="00543040" w:rsidP="00215907">
      <w:pPr>
        <w:spacing w:before="120" w:line="324" w:lineRule="auto"/>
        <w:jc w:val="both"/>
        <w:rPr>
          <w:sz w:val="22"/>
          <w:szCs w:val="22"/>
        </w:rPr>
      </w:pPr>
      <w:r>
        <w:rPr>
          <w:sz w:val="22"/>
          <w:szCs w:val="22"/>
        </w:rPr>
        <w:tab/>
      </w:r>
      <w:r w:rsidR="00B465E3" w:rsidRPr="00B465E3">
        <w:rPr>
          <w:sz w:val="22"/>
          <w:szCs w:val="22"/>
        </w:rPr>
        <w:t>The phonon dispersion relations have been computed by solving the secular equation for the six vibration frequencies corresponding to the phonon wave vectors (q) along the principal symmetry direction [q00], [00q] and [qqq]. The phonon dispersion curves</w:t>
      </w:r>
      <w:r w:rsidR="00265551">
        <w:rPr>
          <w:sz w:val="22"/>
          <w:szCs w:val="22"/>
        </w:rPr>
        <w:t xml:space="preserve"> </w:t>
      </w:r>
      <w:r w:rsidR="00B465E3" w:rsidRPr="00B465E3">
        <w:rPr>
          <w:sz w:val="22"/>
          <w:szCs w:val="22"/>
        </w:rPr>
        <w:t>(Figure</w:t>
      </w:r>
      <w:r w:rsidR="00265551">
        <w:rPr>
          <w:sz w:val="22"/>
          <w:szCs w:val="22"/>
        </w:rPr>
        <w:t xml:space="preserve"> – </w:t>
      </w:r>
      <w:r w:rsidR="00B465E3" w:rsidRPr="00B465E3">
        <w:rPr>
          <w:sz w:val="22"/>
          <w:szCs w:val="22"/>
        </w:rPr>
        <w:t xml:space="preserve">1) have been obtained by plotting these vibration frequencies (ν) against the wave vector (q) and following points are inferred from the careful analysis of phonon dispersion curves Dysprosium monopnictides (DyP).  The dispersion of the longitudinal phonon exhibits oscillatory behavior extending to the large wave vector transfer region. In contrast, the ν -q curves for transverse </w:t>
      </w:r>
      <w:r w:rsidR="00B465E3" w:rsidRPr="00B465E3">
        <w:rPr>
          <w:sz w:val="22"/>
          <w:szCs w:val="22"/>
        </w:rPr>
        <w:lastRenderedPageBreak/>
        <w:t xml:space="preserve">phonons the oscillatory behavior seems quite insignificant for higher q value. This indicates that the transverse phonons undergo large thermal modulation than do the longitudinal phonon, due to the anharmionicity of atomic vibration at room temperature.  The ν -q curves for transverse phonons attain maxima at a higher q value that the longitudinal phonon curves.  Three body interactions have influenced LO and TO branches much more than the acoustic branches LA and TA in these halides. The main feature to note is that there is not a separation of optic and acoustic mode frequencies across the range of wave vectors; this is because of association of optical vibrations with electric moments. The transverse modes do indeed show a separation of the optic and acoustic modes but there is not a separation of LO and LA modes.  Optical vibrations are important chiefly in the , Dysprosium monopnictides (DyP)  owing to the strong electric moments associated with motion. Lattice vibrations with wave vector [q00] are showing LO modes have cations and anions moving in opposite directions parallel to [q00], and the TO modes have the cations and anions moving in opposite directions perpendicular to [q00]. At [000], the both types of motion become exactly equivalent, in this case LO and TO frequencies would be equal. But as shifting from [000] to [q00] ,the long-wavelength optic modes generate electric fields that are either parallel or perpendicular to the direction of propagation of the optic mode  will have a   significant effect on the frequency of the mode. It follows that ν </w:t>
      </w:r>
      <w:r w:rsidR="00B465E3" w:rsidRPr="00B465E3">
        <w:rPr>
          <w:sz w:val="22"/>
          <w:szCs w:val="22"/>
          <w:vertAlign w:val="subscript"/>
        </w:rPr>
        <w:t xml:space="preserve">LO </w:t>
      </w:r>
      <w:r w:rsidR="00B465E3" w:rsidRPr="00B465E3">
        <w:rPr>
          <w:sz w:val="22"/>
          <w:szCs w:val="22"/>
        </w:rPr>
        <w:t xml:space="preserve">&gt; ν </w:t>
      </w:r>
      <w:r w:rsidR="00B465E3" w:rsidRPr="00B465E3">
        <w:rPr>
          <w:sz w:val="22"/>
          <w:szCs w:val="22"/>
          <w:vertAlign w:val="subscript"/>
        </w:rPr>
        <w:t>TO</w:t>
      </w:r>
      <w:r w:rsidR="00B465E3" w:rsidRPr="00B465E3">
        <w:rPr>
          <w:sz w:val="22"/>
          <w:szCs w:val="22"/>
        </w:rPr>
        <w:t>. This effect is known as LO/ TO splitting, reflecting the fact at exactly zero wave vector the frequencies are the same.</w:t>
      </w:r>
    </w:p>
    <w:p w:rsidR="00AC7F05" w:rsidRPr="00345FE7" w:rsidRDefault="00AC7F05" w:rsidP="00AC7F05">
      <w:pPr>
        <w:spacing w:before="120" w:line="480" w:lineRule="auto"/>
        <w:jc w:val="center"/>
        <w:rPr>
          <w:b/>
          <w:sz w:val="22"/>
          <w:szCs w:val="22"/>
        </w:rPr>
      </w:pPr>
      <w:r w:rsidRPr="00345FE7">
        <w:rPr>
          <w:b/>
          <w:sz w:val="22"/>
          <w:szCs w:val="22"/>
        </w:rPr>
        <w:t>Table – 1 : Frequ</w:t>
      </w:r>
      <w:r w:rsidR="00345FE7">
        <w:rPr>
          <w:b/>
          <w:sz w:val="22"/>
          <w:szCs w:val="22"/>
        </w:rPr>
        <w:t>e</w:t>
      </w:r>
      <w:r w:rsidRPr="00345FE7">
        <w:rPr>
          <w:b/>
          <w:sz w:val="22"/>
          <w:szCs w:val="22"/>
        </w:rPr>
        <w:t>ncies (TH</w:t>
      </w:r>
      <w:r w:rsidRPr="00345FE7">
        <w:rPr>
          <w:b/>
          <w:sz w:val="22"/>
          <w:szCs w:val="22"/>
          <w:vertAlign w:val="subscript"/>
        </w:rPr>
        <w:t>Z</w:t>
      </w:r>
      <w:r w:rsidRPr="00345FE7">
        <w:rPr>
          <w:b/>
          <w:sz w:val="22"/>
          <w:szCs w:val="22"/>
        </w:rPr>
        <w:t>) of DyP</w:t>
      </w:r>
    </w:p>
    <w:tbl>
      <w:tblPr>
        <w:tblStyle w:val="TableGrid"/>
        <w:tblW w:w="0" w:type="auto"/>
        <w:jc w:val="center"/>
        <w:tblLook w:val="04A0"/>
      </w:tblPr>
      <w:tblGrid>
        <w:gridCol w:w="2304"/>
        <w:gridCol w:w="2304"/>
        <w:gridCol w:w="2304"/>
      </w:tblGrid>
      <w:tr w:rsidR="00F91068" w:rsidTr="00D46A5E">
        <w:trPr>
          <w:trHeight w:val="288"/>
          <w:jc w:val="center"/>
        </w:trPr>
        <w:tc>
          <w:tcPr>
            <w:tcW w:w="2304" w:type="dxa"/>
            <w:vAlign w:val="center"/>
          </w:tcPr>
          <w:p w:rsidR="00F91068" w:rsidRPr="00F91068" w:rsidRDefault="00F91068" w:rsidP="00345FE7">
            <w:pPr>
              <w:jc w:val="center"/>
              <w:rPr>
                <w:b/>
              </w:rPr>
            </w:pPr>
            <w:r w:rsidRPr="00F91068">
              <w:rPr>
                <w:b/>
              </w:rPr>
              <w:t>Reference Point</w:t>
            </w:r>
          </w:p>
        </w:tc>
        <w:tc>
          <w:tcPr>
            <w:tcW w:w="4608" w:type="dxa"/>
            <w:gridSpan w:val="2"/>
            <w:vAlign w:val="center"/>
          </w:tcPr>
          <w:p w:rsidR="00F91068" w:rsidRPr="00F91068" w:rsidRDefault="00F91068" w:rsidP="00345FE7">
            <w:pPr>
              <w:jc w:val="center"/>
              <w:rPr>
                <w:b/>
              </w:rPr>
            </w:pPr>
            <w:r w:rsidRPr="00F91068">
              <w:rPr>
                <w:b/>
              </w:rPr>
              <w:t>Assignments Values</w:t>
            </w:r>
          </w:p>
        </w:tc>
      </w:tr>
      <w:tr w:rsidR="00ED2E6B" w:rsidTr="00D46A5E">
        <w:trPr>
          <w:trHeight w:val="288"/>
          <w:jc w:val="center"/>
        </w:trPr>
        <w:tc>
          <w:tcPr>
            <w:tcW w:w="2304" w:type="dxa"/>
            <w:vMerge w:val="restart"/>
            <w:vAlign w:val="center"/>
          </w:tcPr>
          <w:p w:rsidR="00ED2E6B" w:rsidRDefault="00ED2E6B" w:rsidP="00345FE7">
            <w:pPr>
              <w:jc w:val="center"/>
            </w:pPr>
            <w:r>
              <w:sym w:font="Symbol" w:char="F047"/>
            </w:r>
            <w:r>
              <w:t>-Point</w:t>
            </w:r>
          </w:p>
        </w:tc>
        <w:tc>
          <w:tcPr>
            <w:tcW w:w="2304" w:type="dxa"/>
            <w:vAlign w:val="center"/>
          </w:tcPr>
          <w:p w:rsidR="00ED2E6B" w:rsidRDefault="00ED2E6B" w:rsidP="00345FE7">
            <w:pPr>
              <w:jc w:val="center"/>
            </w:pPr>
            <w:r>
              <w:t>LO</w:t>
            </w:r>
          </w:p>
        </w:tc>
        <w:tc>
          <w:tcPr>
            <w:tcW w:w="2304" w:type="dxa"/>
            <w:vAlign w:val="center"/>
          </w:tcPr>
          <w:p w:rsidR="00ED2E6B" w:rsidRDefault="00ED2E6B" w:rsidP="00345FE7">
            <w:pPr>
              <w:jc w:val="center"/>
            </w:pPr>
            <w:r>
              <w:t>10.97</w:t>
            </w:r>
          </w:p>
        </w:tc>
      </w:tr>
      <w:tr w:rsidR="00ED2E6B" w:rsidTr="00D46A5E">
        <w:trPr>
          <w:trHeight w:val="288"/>
          <w:jc w:val="center"/>
        </w:trPr>
        <w:tc>
          <w:tcPr>
            <w:tcW w:w="2304" w:type="dxa"/>
            <w:vMerge/>
            <w:vAlign w:val="center"/>
          </w:tcPr>
          <w:p w:rsidR="00ED2E6B" w:rsidRDefault="00ED2E6B" w:rsidP="00345FE7">
            <w:pPr>
              <w:jc w:val="center"/>
            </w:pPr>
          </w:p>
        </w:tc>
        <w:tc>
          <w:tcPr>
            <w:tcW w:w="2304" w:type="dxa"/>
            <w:vAlign w:val="center"/>
          </w:tcPr>
          <w:p w:rsidR="00ED2E6B" w:rsidRDefault="00ED2E6B" w:rsidP="00345FE7">
            <w:pPr>
              <w:jc w:val="center"/>
            </w:pPr>
            <w:r>
              <w:t>TO</w:t>
            </w:r>
          </w:p>
        </w:tc>
        <w:tc>
          <w:tcPr>
            <w:tcW w:w="2304" w:type="dxa"/>
            <w:vAlign w:val="center"/>
          </w:tcPr>
          <w:p w:rsidR="00ED2E6B" w:rsidRDefault="00ED2E6B" w:rsidP="00345FE7">
            <w:pPr>
              <w:jc w:val="center"/>
            </w:pPr>
            <w:r>
              <w:t>5.94</w:t>
            </w:r>
          </w:p>
        </w:tc>
      </w:tr>
      <w:tr w:rsidR="00ED2E6B" w:rsidTr="00D46A5E">
        <w:trPr>
          <w:trHeight w:val="288"/>
          <w:jc w:val="center"/>
        </w:trPr>
        <w:tc>
          <w:tcPr>
            <w:tcW w:w="2304" w:type="dxa"/>
            <w:vMerge/>
            <w:vAlign w:val="center"/>
          </w:tcPr>
          <w:p w:rsidR="00ED2E6B" w:rsidRDefault="00ED2E6B" w:rsidP="00345FE7">
            <w:pPr>
              <w:jc w:val="center"/>
            </w:pPr>
          </w:p>
        </w:tc>
        <w:tc>
          <w:tcPr>
            <w:tcW w:w="2304" w:type="dxa"/>
            <w:vAlign w:val="center"/>
          </w:tcPr>
          <w:p w:rsidR="00ED2E6B" w:rsidRDefault="00ED2E6B" w:rsidP="00345FE7">
            <w:pPr>
              <w:jc w:val="center"/>
            </w:pPr>
            <w:r>
              <w:t>LO</w:t>
            </w:r>
          </w:p>
        </w:tc>
        <w:tc>
          <w:tcPr>
            <w:tcW w:w="2304" w:type="dxa"/>
            <w:vAlign w:val="center"/>
          </w:tcPr>
          <w:p w:rsidR="00ED2E6B" w:rsidRDefault="00ED2E6B" w:rsidP="00345FE7">
            <w:pPr>
              <w:jc w:val="center"/>
            </w:pPr>
            <w:r>
              <w:t>8.78</w:t>
            </w:r>
          </w:p>
        </w:tc>
      </w:tr>
      <w:tr w:rsidR="00ED2E6B" w:rsidTr="00D46A5E">
        <w:trPr>
          <w:trHeight w:val="288"/>
          <w:jc w:val="center"/>
        </w:trPr>
        <w:tc>
          <w:tcPr>
            <w:tcW w:w="2304" w:type="dxa"/>
            <w:vMerge w:val="restart"/>
            <w:vAlign w:val="center"/>
          </w:tcPr>
          <w:p w:rsidR="00ED2E6B" w:rsidRDefault="00ED2E6B" w:rsidP="00345FE7">
            <w:pPr>
              <w:jc w:val="center"/>
            </w:pPr>
            <w:r>
              <w:t>X-point</w:t>
            </w:r>
          </w:p>
        </w:tc>
        <w:tc>
          <w:tcPr>
            <w:tcW w:w="2304" w:type="dxa"/>
            <w:vAlign w:val="center"/>
          </w:tcPr>
          <w:p w:rsidR="00ED2E6B" w:rsidRDefault="00ED2E6B" w:rsidP="00345FE7">
            <w:pPr>
              <w:jc w:val="center"/>
            </w:pPr>
            <w:r>
              <w:t>TA</w:t>
            </w:r>
          </w:p>
        </w:tc>
        <w:tc>
          <w:tcPr>
            <w:tcW w:w="2304" w:type="dxa"/>
            <w:vAlign w:val="center"/>
          </w:tcPr>
          <w:p w:rsidR="00ED2E6B" w:rsidRDefault="00ED2E6B" w:rsidP="00345FE7">
            <w:pPr>
              <w:jc w:val="center"/>
            </w:pPr>
            <w:r>
              <w:t>6.64</w:t>
            </w:r>
          </w:p>
        </w:tc>
      </w:tr>
      <w:tr w:rsidR="00ED2E6B" w:rsidTr="00D46A5E">
        <w:trPr>
          <w:trHeight w:val="288"/>
          <w:jc w:val="center"/>
        </w:trPr>
        <w:tc>
          <w:tcPr>
            <w:tcW w:w="2304" w:type="dxa"/>
            <w:vMerge/>
            <w:vAlign w:val="center"/>
          </w:tcPr>
          <w:p w:rsidR="00ED2E6B" w:rsidRDefault="00ED2E6B" w:rsidP="00345FE7">
            <w:pPr>
              <w:jc w:val="center"/>
            </w:pPr>
          </w:p>
        </w:tc>
        <w:tc>
          <w:tcPr>
            <w:tcW w:w="2304" w:type="dxa"/>
            <w:vAlign w:val="center"/>
          </w:tcPr>
          <w:p w:rsidR="00ED2E6B" w:rsidRDefault="00ED2E6B" w:rsidP="00345FE7">
            <w:pPr>
              <w:jc w:val="center"/>
            </w:pPr>
            <w:r>
              <w:t>LA</w:t>
            </w:r>
          </w:p>
        </w:tc>
        <w:tc>
          <w:tcPr>
            <w:tcW w:w="2304" w:type="dxa"/>
            <w:vAlign w:val="center"/>
          </w:tcPr>
          <w:p w:rsidR="00ED2E6B" w:rsidRDefault="00ED2E6B" w:rsidP="00345FE7">
            <w:pPr>
              <w:jc w:val="center"/>
            </w:pPr>
            <w:r>
              <w:t>4.61</w:t>
            </w:r>
          </w:p>
        </w:tc>
      </w:tr>
      <w:tr w:rsidR="00ED2E6B" w:rsidTr="00D46A5E">
        <w:trPr>
          <w:trHeight w:val="288"/>
          <w:jc w:val="center"/>
        </w:trPr>
        <w:tc>
          <w:tcPr>
            <w:tcW w:w="2304" w:type="dxa"/>
            <w:vMerge/>
            <w:vAlign w:val="center"/>
          </w:tcPr>
          <w:p w:rsidR="00ED2E6B" w:rsidRDefault="00ED2E6B" w:rsidP="00345FE7">
            <w:pPr>
              <w:jc w:val="center"/>
            </w:pPr>
          </w:p>
        </w:tc>
        <w:tc>
          <w:tcPr>
            <w:tcW w:w="2304" w:type="dxa"/>
            <w:vAlign w:val="center"/>
          </w:tcPr>
          <w:p w:rsidR="00ED2E6B" w:rsidRDefault="00ED2E6B" w:rsidP="00345FE7">
            <w:pPr>
              <w:jc w:val="center"/>
            </w:pPr>
            <w:r>
              <w:t>TA</w:t>
            </w:r>
          </w:p>
        </w:tc>
        <w:tc>
          <w:tcPr>
            <w:tcW w:w="2304" w:type="dxa"/>
            <w:vAlign w:val="center"/>
          </w:tcPr>
          <w:p w:rsidR="00ED2E6B" w:rsidRDefault="00ED2E6B" w:rsidP="00345FE7">
            <w:pPr>
              <w:jc w:val="center"/>
            </w:pPr>
            <w:r>
              <w:t>2.67</w:t>
            </w:r>
          </w:p>
        </w:tc>
      </w:tr>
      <w:tr w:rsidR="00ED2E6B" w:rsidTr="00D46A5E">
        <w:trPr>
          <w:trHeight w:val="288"/>
          <w:jc w:val="center"/>
        </w:trPr>
        <w:tc>
          <w:tcPr>
            <w:tcW w:w="2304" w:type="dxa"/>
            <w:vMerge w:val="restart"/>
            <w:vAlign w:val="center"/>
          </w:tcPr>
          <w:p w:rsidR="00ED2E6B" w:rsidRDefault="00ED2E6B" w:rsidP="00345FE7">
            <w:pPr>
              <w:jc w:val="center"/>
            </w:pPr>
            <w:r>
              <w:t>L-Piont</w:t>
            </w:r>
          </w:p>
        </w:tc>
        <w:tc>
          <w:tcPr>
            <w:tcW w:w="2304" w:type="dxa"/>
            <w:vAlign w:val="center"/>
          </w:tcPr>
          <w:p w:rsidR="00ED2E6B" w:rsidRDefault="00ED2E6B" w:rsidP="00345FE7">
            <w:pPr>
              <w:jc w:val="center"/>
            </w:pPr>
            <w:r>
              <w:t>LO</w:t>
            </w:r>
          </w:p>
        </w:tc>
        <w:tc>
          <w:tcPr>
            <w:tcW w:w="2304" w:type="dxa"/>
            <w:vAlign w:val="center"/>
          </w:tcPr>
          <w:p w:rsidR="00ED2E6B" w:rsidRDefault="00ED2E6B" w:rsidP="00345FE7">
            <w:pPr>
              <w:jc w:val="center"/>
            </w:pPr>
            <w:r>
              <w:t>9.59</w:t>
            </w:r>
          </w:p>
        </w:tc>
      </w:tr>
      <w:tr w:rsidR="00ED2E6B" w:rsidTr="00D46A5E">
        <w:trPr>
          <w:trHeight w:val="288"/>
          <w:jc w:val="center"/>
        </w:trPr>
        <w:tc>
          <w:tcPr>
            <w:tcW w:w="2304" w:type="dxa"/>
            <w:vMerge/>
            <w:vAlign w:val="center"/>
          </w:tcPr>
          <w:p w:rsidR="00ED2E6B" w:rsidRDefault="00ED2E6B" w:rsidP="00345FE7">
            <w:pPr>
              <w:jc w:val="center"/>
            </w:pPr>
          </w:p>
        </w:tc>
        <w:tc>
          <w:tcPr>
            <w:tcW w:w="2304" w:type="dxa"/>
            <w:vAlign w:val="center"/>
          </w:tcPr>
          <w:p w:rsidR="00ED2E6B" w:rsidRDefault="00ED2E6B" w:rsidP="00345FE7">
            <w:pPr>
              <w:jc w:val="center"/>
            </w:pPr>
            <w:r>
              <w:t>TO</w:t>
            </w:r>
          </w:p>
        </w:tc>
        <w:tc>
          <w:tcPr>
            <w:tcW w:w="2304" w:type="dxa"/>
            <w:vAlign w:val="center"/>
          </w:tcPr>
          <w:p w:rsidR="00ED2E6B" w:rsidRDefault="00ED2E6B" w:rsidP="00345FE7">
            <w:pPr>
              <w:jc w:val="center"/>
            </w:pPr>
            <w:r>
              <w:t>5.67</w:t>
            </w:r>
          </w:p>
        </w:tc>
      </w:tr>
      <w:tr w:rsidR="00ED2E6B" w:rsidTr="00D46A5E">
        <w:trPr>
          <w:trHeight w:val="288"/>
          <w:jc w:val="center"/>
        </w:trPr>
        <w:tc>
          <w:tcPr>
            <w:tcW w:w="2304" w:type="dxa"/>
            <w:vMerge/>
            <w:vAlign w:val="center"/>
          </w:tcPr>
          <w:p w:rsidR="00ED2E6B" w:rsidRDefault="00ED2E6B" w:rsidP="00345FE7">
            <w:pPr>
              <w:jc w:val="center"/>
            </w:pPr>
          </w:p>
        </w:tc>
        <w:tc>
          <w:tcPr>
            <w:tcW w:w="2304" w:type="dxa"/>
            <w:vAlign w:val="center"/>
          </w:tcPr>
          <w:p w:rsidR="00ED2E6B" w:rsidRDefault="00ED2E6B" w:rsidP="00345FE7">
            <w:pPr>
              <w:jc w:val="center"/>
            </w:pPr>
            <w:r>
              <w:t>LA</w:t>
            </w:r>
          </w:p>
        </w:tc>
        <w:tc>
          <w:tcPr>
            <w:tcW w:w="2304" w:type="dxa"/>
            <w:vAlign w:val="center"/>
          </w:tcPr>
          <w:p w:rsidR="00ED2E6B" w:rsidRDefault="00ED2E6B" w:rsidP="00345FE7">
            <w:pPr>
              <w:jc w:val="center"/>
            </w:pPr>
            <w:r>
              <w:t>5.09</w:t>
            </w:r>
          </w:p>
        </w:tc>
      </w:tr>
      <w:tr w:rsidR="00ED2E6B" w:rsidTr="00D46A5E">
        <w:trPr>
          <w:trHeight w:val="288"/>
          <w:jc w:val="center"/>
        </w:trPr>
        <w:tc>
          <w:tcPr>
            <w:tcW w:w="2304" w:type="dxa"/>
            <w:vMerge/>
            <w:vAlign w:val="center"/>
          </w:tcPr>
          <w:p w:rsidR="00ED2E6B" w:rsidRDefault="00ED2E6B" w:rsidP="00345FE7">
            <w:pPr>
              <w:jc w:val="center"/>
            </w:pPr>
          </w:p>
        </w:tc>
        <w:tc>
          <w:tcPr>
            <w:tcW w:w="2304" w:type="dxa"/>
            <w:vAlign w:val="center"/>
          </w:tcPr>
          <w:p w:rsidR="00ED2E6B" w:rsidRDefault="00ED2E6B" w:rsidP="00345FE7">
            <w:pPr>
              <w:jc w:val="center"/>
            </w:pPr>
            <w:r>
              <w:t>TA</w:t>
            </w:r>
          </w:p>
        </w:tc>
        <w:tc>
          <w:tcPr>
            <w:tcW w:w="2304" w:type="dxa"/>
            <w:vAlign w:val="center"/>
          </w:tcPr>
          <w:p w:rsidR="00ED2E6B" w:rsidRDefault="00ED2E6B" w:rsidP="00345FE7">
            <w:pPr>
              <w:jc w:val="center"/>
            </w:pPr>
            <w:r>
              <w:t>3.03</w:t>
            </w:r>
          </w:p>
        </w:tc>
      </w:tr>
    </w:tbl>
    <w:p w:rsidR="00B465E3" w:rsidRPr="00B465E3" w:rsidRDefault="00B465E3" w:rsidP="00465A93">
      <w:pPr>
        <w:jc w:val="center"/>
        <w:rPr>
          <w:sz w:val="22"/>
          <w:szCs w:val="22"/>
        </w:rPr>
      </w:pPr>
    </w:p>
    <w:p w:rsidR="00B465E3" w:rsidRPr="00B465E3" w:rsidRDefault="00B465E3" w:rsidP="005371B1">
      <w:pPr>
        <w:pStyle w:val="BodyText"/>
        <w:jc w:val="center"/>
        <w:rPr>
          <w:sz w:val="22"/>
          <w:szCs w:val="22"/>
        </w:rPr>
      </w:pPr>
    </w:p>
    <w:p w:rsidR="001429C3" w:rsidRDefault="001429C3" w:rsidP="001429C3">
      <w:pPr>
        <w:spacing w:line="480" w:lineRule="auto"/>
        <w:jc w:val="center"/>
        <w:rPr>
          <w:sz w:val="22"/>
          <w:szCs w:val="22"/>
        </w:rPr>
      </w:pPr>
      <w:r w:rsidRPr="001429C3">
        <w:rPr>
          <w:noProof/>
          <w:sz w:val="22"/>
          <w:szCs w:val="22"/>
        </w:rPr>
        <w:drawing>
          <wp:inline distT="0" distB="0" distL="0" distR="0">
            <wp:extent cx="4381500" cy="2450195"/>
            <wp:effectExtent l="19050" t="0" r="0" b="0"/>
            <wp:docPr id="1" name="Picture 7" descr="indo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ore,1"/>
                    <pic:cNvPicPr>
                      <a:picLocks noChangeAspect="1" noChangeArrowheads="1"/>
                    </pic:cNvPicPr>
                  </pic:nvPicPr>
                  <pic:blipFill>
                    <a:blip r:embed="rId20"/>
                    <a:srcRect/>
                    <a:stretch>
                      <a:fillRect/>
                    </a:stretch>
                  </pic:blipFill>
                  <pic:spPr bwMode="auto">
                    <a:xfrm>
                      <a:off x="0" y="0"/>
                      <a:ext cx="4381500" cy="2450195"/>
                    </a:xfrm>
                    <a:prstGeom prst="rect">
                      <a:avLst/>
                    </a:prstGeom>
                    <a:noFill/>
                    <a:ln w="9525">
                      <a:noFill/>
                      <a:miter lim="800000"/>
                      <a:headEnd/>
                      <a:tailEnd/>
                    </a:ln>
                  </pic:spPr>
                </pic:pic>
              </a:graphicData>
            </a:graphic>
          </wp:inline>
        </w:drawing>
      </w:r>
    </w:p>
    <w:p w:rsidR="00B465E3" w:rsidRPr="001429C3" w:rsidRDefault="00B465E3" w:rsidP="005371B1">
      <w:pPr>
        <w:spacing w:line="480" w:lineRule="auto"/>
        <w:jc w:val="center"/>
        <w:rPr>
          <w:b/>
          <w:sz w:val="22"/>
          <w:szCs w:val="22"/>
        </w:rPr>
      </w:pPr>
      <w:r w:rsidRPr="001429C3">
        <w:rPr>
          <w:b/>
          <w:sz w:val="22"/>
          <w:szCs w:val="22"/>
        </w:rPr>
        <w:t xml:space="preserve">Figure </w:t>
      </w:r>
      <w:r w:rsidR="001429C3">
        <w:rPr>
          <w:b/>
          <w:sz w:val="22"/>
          <w:szCs w:val="22"/>
        </w:rPr>
        <w:t xml:space="preserve">– </w:t>
      </w:r>
      <w:r w:rsidRPr="001429C3">
        <w:rPr>
          <w:b/>
          <w:sz w:val="22"/>
          <w:szCs w:val="22"/>
        </w:rPr>
        <w:t>1</w:t>
      </w:r>
      <w:r w:rsidR="001429C3">
        <w:rPr>
          <w:b/>
          <w:sz w:val="22"/>
          <w:szCs w:val="22"/>
        </w:rPr>
        <w:t xml:space="preserve"> </w:t>
      </w:r>
      <w:r w:rsidRPr="001429C3">
        <w:rPr>
          <w:b/>
          <w:sz w:val="22"/>
          <w:szCs w:val="22"/>
        </w:rPr>
        <w:t>: Phonon dispersion curves of Dysprosium monopnictides (DyP)</w:t>
      </w:r>
    </w:p>
    <w:p w:rsidR="001429C3" w:rsidRDefault="00A64425" w:rsidP="001429C3">
      <w:pPr>
        <w:pStyle w:val="BodyText"/>
        <w:spacing w:before="120" w:line="240" w:lineRule="auto"/>
        <w:rPr>
          <w:b/>
          <w:color w:val="000000"/>
          <w:sz w:val="22"/>
          <w:szCs w:val="22"/>
        </w:rPr>
      </w:pPr>
      <w:r>
        <w:rPr>
          <w:b/>
          <w:color w:val="000000"/>
          <w:sz w:val="22"/>
          <w:szCs w:val="22"/>
        </w:rPr>
        <w:t>2</w:t>
      </w:r>
      <w:r w:rsidR="00B465E3" w:rsidRPr="00B465E3">
        <w:rPr>
          <w:b/>
          <w:color w:val="000000"/>
          <w:sz w:val="22"/>
          <w:szCs w:val="22"/>
        </w:rPr>
        <w:t>. Debye temperatures variation</w:t>
      </w:r>
      <w:r w:rsidR="001429C3">
        <w:rPr>
          <w:b/>
          <w:color w:val="000000"/>
          <w:sz w:val="22"/>
          <w:szCs w:val="22"/>
        </w:rPr>
        <w:t xml:space="preserve"> –</w:t>
      </w:r>
    </w:p>
    <w:p w:rsidR="00A64425" w:rsidRDefault="001429C3" w:rsidP="00A64425">
      <w:pPr>
        <w:pStyle w:val="BodyText"/>
        <w:spacing w:before="120" w:line="324" w:lineRule="auto"/>
        <w:rPr>
          <w:sz w:val="22"/>
          <w:szCs w:val="22"/>
        </w:rPr>
      </w:pPr>
      <w:r>
        <w:rPr>
          <w:b/>
          <w:color w:val="000000"/>
          <w:sz w:val="22"/>
          <w:szCs w:val="22"/>
        </w:rPr>
        <w:tab/>
      </w:r>
      <w:r w:rsidR="00B465E3" w:rsidRPr="00B465E3">
        <w:rPr>
          <w:sz w:val="22"/>
          <w:szCs w:val="22"/>
        </w:rPr>
        <w:t xml:space="preserve">The variation of the experimentally measured specific heats is compared with that computed from the phonon spectra. This comparison is usually done by plotting the Debye temperatures against the temperature. For calculating the exact variation of Debye temperatures we have used the </w:t>
      </w:r>
      <w:r w:rsidR="00265551">
        <w:rPr>
          <w:bCs/>
          <w:sz w:val="22"/>
          <w:szCs w:val="22"/>
        </w:rPr>
        <w:t>Blackmann's</w:t>
      </w:r>
      <w:r w:rsidR="00265551" w:rsidRPr="00265551">
        <w:rPr>
          <w:bCs/>
          <w:sz w:val="22"/>
          <w:szCs w:val="22"/>
          <w:vertAlign w:val="superscript"/>
        </w:rPr>
        <w:t>[3</w:t>
      </w:r>
      <w:r w:rsidR="00B465E3" w:rsidRPr="00265551">
        <w:rPr>
          <w:bCs/>
          <w:sz w:val="22"/>
          <w:szCs w:val="22"/>
          <w:vertAlign w:val="superscript"/>
        </w:rPr>
        <w:t>]</w:t>
      </w:r>
      <w:r w:rsidR="00B465E3" w:rsidRPr="00B465E3">
        <w:rPr>
          <w:sz w:val="22"/>
          <w:szCs w:val="22"/>
        </w:rPr>
        <w:t xml:space="preserve"> sampling technique. In this technique, the frequency spectrum is divided into a suitable number of equal intervals and the specific heat is expressed as a sum over Einstein functions corresponding to the mid point of each interval. Thus,</w:t>
      </w:r>
    </w:p>
    <w:p w:rsidR="00A64425" w:rsidRDefault="00A64425" w:rsidP="00A64425">
      <w:pPr>
        <w:pStyle w:val="BodyText"/>
        <w:spacing w:before="120" w:line="324" w:lineRule="auto"/>
        <w:rPr>
          <w:sz w:val="22"/>
          <w:szCs w:val="22"/>
        </w:rPr>
      </w:pPr>
      <w:r>
        <w:rPr>
          <w:sz w:val="22"/>
          <w:szCs w:val="22"/>
        </w:rPr>
        <w:tab/>
      </w:r>
      <w:r>
        <w:rPr>
          <w:sz w:val="22"/>
          <w:szCs w:val="22"/>
        </w:rPr>
        <w:tab/>
      </w:r>
      <w:r w:rsidRPr="00A64425">
        <w:rPr>
          <w:position w:val="-28"/>
          <w:sz w:val="22"/>
          <w:szCs w:val="22"/>
        </w:rPr>
        <w:object w:dxaOrig="2439" w:dyaOrig="639">
          <v:shape id="_x0000_i1031" type="#_x0000_t75" style="width:122.25pt;height:32.25pt" o:ole="">
            <v:imagedata r:id="rId21" o:title=""/>
          </v:shape>
          <o:OLEObject Type="Embed" ProgID="Equation.3" ShapeID="_x0000_i1031" DrawAspect="Content" ObjectID="_1530517838" r:id="rId22"/>
        </w:object>
      </w:r>
      <w:r w:rsidR="00B465E3" w:rsidRPr="00B465E3">
        <w:rPr>
          <w:sz w:val="22"/>
          <w:szCs w:val="22"/>
        </w:rPr>
        <w:tab/>
      </w:r>
      <w:r>
        <w:rPr>
          <w:sz w:val="22"/>
          <w:szCs w:val="22"/>
        </w:rPr>
        <w:tab/>
      </w:r>
      <w:r>
        <w:rPr>
          <w:sz w:val="22"/>
          <w:szCs w:val="22"/>
        </w:rPr>
        <w:tab/>
      </w:r>
      <w:r>
        <w:rPr>
          <w:sz w:val="22"/>
          <w:szCs w:val="22"/>
        </w:rPr>
        <w:tab/>
      </w:r>
      <w:r>
        <w:rPr>
          <w:sz w:val="22"/>
          <w:szCs w:val="22"/>
        </w:rPr>
        <w:tab/>
      </w:r>
      <w:r w:rsidR="00B465E3" w:rsidRPr="00B465E3">
        <w:rPr>
          <w:sz w:val="22"/>
          <w:szCs w:val="22"/>
        </w:rPr>
        <w:t>(7)</w:t>
      </w:r>
    </w:p>
    <w:p w:rsidR="00B465E3" w:rsidRDefault="00B465E3" w:rsidP="00A64425">
      <w:pPr>
        <w:pStyle w:val="BodyText"/>
        <w:spacing w:before="120" w:line="324" w:lineRule="auto"/>
        <w:rPr>
          <w:b/>
          <w:noProof/>
          <w:color w:val="000000"/>
          <w:sz w:val="22"/>
          <w:szCs w:val="22"/>
        </w:rPr>
      </w:pPr>
      <w:r w:rsidRPr="00A40BA2">
        <w:rPr>
          <w:sz w:val="22"/>
          <w:szCs w:val="22"/>
        </w:rPr>
        <w:t xml:space="preserve">where </w:t>
      </w:r>
      <w:r w:rsidRPr="00A40BA2">
        <w:rPr>
          <w:iCs/>
          <w:sz w:val="22"/>
          <w:szCs w:val="22"/>
        </w:rPr>
        <w:t>E (v)</w:t>
      </w:r>
      <w:r w:rsidRPr="00A40BA2">
        <w:rPr>
          <w:sz w:val="22"/>
          <w:szCs w:val="22"/>
        </w:rPr>
        <w:t xml:space="preserve"> is the Einstein function, </w:t>
      </w:r>
      <w:r w:rsidRPr="00A40BA2">
        <w:rPr>
          <w:sz w:val="22"/>
          <w:szCs w:val="22"/>
        </w:rPr>
        <w:sym w:font="Symbol" w:char="F0C2"/>
      </w:r>
      <w:r w:rsidRPr="00A40BA2">
        <w:rPr>
          <w:sz w:val="22"/>
          <w:szCs w:val="22"/>
        </w:rPr>
        <w:t xml:space="preserve"> is the gas constant and </w:t>
      </w:r>
      <w:r w:rsidRPr="00A40BA2">
        <w:rPr>
          <w:iCs/>
          <w:sz w:val="22"/>
          <w:szCs w:val="22"/>
        </w:rPr>
        <w:t>g(v)dv</w:t>
      </w:r>
      <w:r w:rsidRPr="00A40BA2">
        <w:rPr>
          <w:sz w:val="22"/>
          <w:szCs w:val="22"/>
        </w:rPr>
        <w:t xml:space="preserve"> are the number of frequencies lying in the interval </w:t>
      </w:r>
      <w:r w:rsidRPr="00A40BA2">
        <w:rPr>
          <w:iCs/>
          <w:sz w:val="22"/>
          <w:szCs w:val="22"/>
        </w:rPr>
        <w:t>(v-dv/2)</w:t>
      </w:r>
      <w:r w:rsidRPr="00A40BA2">
        <w:rPr>
          <w:sz w:val="22"/>
          <w:szCs w:val="22"/>
        </w:rPr>
        <w:t xml:space="preserve"> to </w:t>
      </w:r>
      <w:r w:rsidRPr="00A40BA2">
        <w:rPr>
          <w:iCs/>
          <w:sz w:val="22"/>
          <w:szCs w:val="22"/>
        </w:rPr>
        <w:t>(v+dv/2)</w:t>
      </w:r>
      <w:r w:rsidRPr="00A40BA2">
        <w:rPr>
          <w:sz w:val="22"/>
          <w:szCs w:val="22"/>
        </w:rPr>
        <w:t xml:space="preserve">. From the calculated specific heats at different temperatures. </w:t>
      </w:r>
      <w:r w:rsidRPr="00A40BA2">
        <w:rPr>
          <w:iCs/>
          <w:sz w:val="22"/>
          <w:szCs w:val="22"/>
        </w:rPr>
        <w:sym w:font="Symbol" w:char="F051"/>
      </w:r>
      <w:r w:rsidRPr="00A40BA2">
        <w:rPr>
          <w:sz w:val="22"/>
          <w:szCs w:val="22"/>
          <w:vertAlign w:val="subscript"/>
        </w:rPr>
        <w:t>D</w:t>
      </w:r>
      <w:r w:rsidRPr="00A40BA2">
        <w:rPr>
          <w:sz w:val="22"/>
          <w:szCs w:val="22"/>
        </w:rPr>
        <w:t xml:space="preserve"> is calculated by means of standard tables. Thus (</w:t>
      </w:r>
      <w:r w:rsidRPr="00A40BA2">
        <w:rPr>
          <w:iCs/>
          <w:sz w:val="22"/>
          <w:szCs w:val="22"/>
        </w:rPr>
        <w:sym w:font="Symbol" w:char="F051"/>
      </w:r>
      <w:r w:rsidRPr="00A40BA2">
        <w:rPr>
          <w:sz w:val="22"/>
          <w:szCs w:val="22"/>
          <w:vertAlign w:val="subscript"/>
        </w:rPr>
        <w:t>D</w:t>
      </w:r>
      <w:r w:rsidRPr="00A40BA2">
        <w:rPr>
          <w:sz w:val="22"/>
          <w:szCs w:val="22"/>
        </w:rPr>
        <w:t>-T) curve is plotted (Figure</w:t>
      </w:r>
      <w:r w:rsidR="00265551">
        <w:rPr>
          <w:sz w:val="22"/>
          <w:szCs w:val="22"/>
        </w:rPr>
        <w:t xml:space="preserve"> – 2</w:t>
      </w:r>
      <w:r w:rsidRPr="00A40BA2">
        <w:rPr>
          <w:sz w:val="22"/>
          <w:szCs w:val="22"/>
        </w:rPr>
        <w:t>) and compared with the available experimental data. The specific heat at constant volume behavior of the Dysprosium</w:t>
      </w:r>
      <w:r w:rsidRPr="00B465E3">
        <w:rPr>
          <w:sz w:val="22"/>
          <w:szCs w:val="22"/>
        </w:rPr>
        <w:t xml:space="preserve"> monopnictides (DyP) does not show any anomaly.</w:t>
      </w:r>
    </w:p>
    <w:p w:rsidR="00A40BA2" w:rsidRDefault="00A40BA2" w:rsidP="00A64425">
      <w:pPr>
        <w:pStyle w:val="BodyText"/>
        <w:spacing w:before="120" w:line="324" w:lineRule="auto"/>
        <w:rPr>
          <w:b/>
          <w:noProof/>
          <w:color w:val="000000"/>
          <w:sz w:val="22"/>
          <w:szCs w:val="22"/>
        </w:rPr>
      </w:pPr>
    </w:p>
    <w:p w:rsidR="00A40BA2" w:rsidRPr="00B465E3" w:rsidRDefault="00A40BA2" w:rsidP="00A40BA2">
      <w:pPr>
        <w:pStyle w:val="BodyText"/>
        <w:spacing w:before="120" w:line="480" w:lineRule="auto"/>
        <w:jc w:val="center"/>
        <w:rPr>
          <w:b/>
          <w:color w:val="000000"/>
          <w:sz w:val="22"/>
          <w:szCs w:val="22"/>
        </w:rPr>
      </w:pPr>
      <w:r w:rsidRPr="00A40BA2">
        <w:rPr>
          <w:b/>
          <w:noProof/>
          <w:color w:val="000000"/>
          <w:sz w:val="22"/>
          <w:szCs w:val="22"/>
        </w:rPr>
        <w:lastRenderedPageBreak/>
        <w:drawing>
          <wp:inline distT="0" distB="0" distL="0" distR="0">
            <wp:extent cx="3333750" cy="1983581"/>
            <wp:effectExtent l="19050" t="0" r="0" b="0"/>
            <wp:docPr id="2" name="Picture 9" descr="d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yp"/>
                    <pic:cNvPicPr>
                      <a:picLocks noChangeAspect="1" noChangeArrowheads="1"/>
                    </pic:cNvPicPr>
                  </pic:nvPicPr>
                  <pic:blipFill>
                    <a:blip r:embed="rId23"/>
                    <a:srcRect l="7412" t="11409" r="12460" b="8725"/>
                    <a:stretch>
                      <a:fillRect/>
                    </a:stretch>
                  </pic:blipFill>
                  <pic:spPr bwMode="auto">
                    <a:xfrm>
                      <a:off x="0" y="0"/>
                      <a:ext cx="3333750" cy="1983581"/>
                    </a:xfrm>
                    <a:prstGeom prst="rect">
                      <a:avLst/>
                    </a:prstGeom>
                    <a:noFill/>
                    <a:ln w="9525">
                      <a:noFill/>
                      <a:miter lim="800000"/>
                      <a:headEnd/>
                      <a:tailEnd/>
                    </a:ln>
                  </pic:spPr>
                </pic:pic>
              </a:graphicData>
            </a:graphic>
          </wp:inline>
        </w:drawing>
      </w:r>
    </w:p>
    <w:p w:rsidR="00B465E3" w:rsidRPr="00153B27" w:rsidRDefault="00B465E3" w:rsidP="00153B27">
      <w:pPr>
        <w:pStyle w:val="BodyText"/>
        <w:jc w:val="center"/>
        <w:rPr>
          <w:b/>
          <w:color w:val="000000"/>
          <w:sz w:val="22"/>
          <w:szCs w:val="22"/>
        </w:rPr>
      </w:pPr>
      <w:r w:rsidRPr="00A40BA2">
        <w:rPr>
          <w:b/>
          <w:color w:val="000000"/>
          <w:sz w:val="22"/>
          <w:szCs w:val="22"/>
        </w:rPr>
        <w:t>Figure</w:t>
      </w:r>
      <w:r w:rsidR="00A40BA2">
        <w:rPr>
          <w:b/>
          <w:color w:val="000000"/>
          <w:sz w:val="22"/>
          <w:szCs w:val="22"/>
        </w:rPr>
        <w:t xml:space="preserve"> – </w:t>
      </w:r>
      <w:r w:rsidR="00153B27">
        <w:rPr>
          <w:b/>
          <w:color w:val="000000"/>
          <w:sz w:val="22"/>
          <w:szCs w:val="22"/>
        </w:rPr>
        <w:t>2</w:t>
      </w:r>
      <w:r w:rsidR="00A40BA2">
        <w:rPr>
          <w:b/>
          <w:color w:val="000000"/>
          <w:sz w:val="22"/>
          <w:szCs w:val="22"/>
        </w:rPr>
        <w:t xml:space="preserve"> </w:t>
      </w:r>
      <w:r w:rsidRPr="00A40BA2">
        <w:rPr>
          <w:b/>
          <w:color w:val="000000"/>
          <w:sz w:val="22"/>
          <w:szCs w:val="22"/>
        </w:rPr>
        <w:t>: Lattice specific heat of Dysprosium monopnictides (DyP)</w:t>
      </w:r>
    </w:p>
    <w:p w:rsidR="00D9318B" w:rsidRPr="00E244F8" w:rsidRDefault="00D9318B" w:rsidP="00D9318B">
      <w:pPr>
        <w:spacing w:before="240"/>
        <w:jc w:val="both"/>
        <w:rPr>
          <w:sz w:val="22"/>
        </w:rPr>
      </w:pPr>
      <w:r w:rsidRPr="00A55FDD">
        <w:rPr>
          <w:b/>
          <w:i/>
          <w:sz w:val="22"/>
          <w:szCs w:val="22"/>
        </w:rPr>
        <w:t>References :</w:t>
      </w:r>
    </w:p>
    <w:p w:rsidR="00B55AF8" w:rsidRPr="00030D9B" w:rsidRDefault="00B55AF8" w:rsidP="00D9318B">
      <w:pPr>
        <w:numPr>
          <w:ilvl w:val="0"/>
          <w:numId w:val="1"/>
        </w:numPr>
        <w:tabs>
          <w:tab w:val="clear" w:pos="735"/>
          <w:tab w:val="num" w:pos="360"/>
        </w:tabs>
        <w:spacing w:before="120" w:line="324" w:lineRule="auto"/>
        <w:ind w:left="720" w:hanging="720"/>
        <w:jc w:val="both"/>
        <w:rPr>
          <w:color w:val="000000" w:themeColor="text1"/>
          <w:sz w:val="22"/>
          <w:szCs w:val="22"/>
        </w:rPr>
      </w:pPr>
      <w:r w:rsidRPr="00030D9B">
        <w:rPr>
          <w:bCs/>
          <w:color w:val="000000" w:themeColor="text1"/>
          <w:w w:val="90"/>
          <w:sz w:val="22"/>
          <w:szCs w:val="22"/>
          <w:lang w:eastAsia="en-IN"/>
        </w:rPr>
        <w:t>Arya, B. S.; Aynyas, M. and Sanyal, S. P. (2008) : Proceedings of 53</w:t>
      </w:r>
      <w:r w:rsidRPr="00030D9B">
        <w:rPr>
          <w:bCs/>
          <w:color w:val="000000" w:themeColor="text1"/>
          <w:w w:val="90"/>
          <w:sz w:val="22"/>
          <w:szCs w:val="22"/>
          <w:vertAlign w:val="superscript"/>
          <w:lang w:eastAsia="en-IN"/>
        </w:rPr>
        <w:t>rd</w:t>
      </w:r>
      <w:r w:rsidRPr="00030D9B">
        <w:rPr>
          <w:bCs/>
          <w:color w:val="000000" w:themeColor="text1"/>
          <w:w w:val="90"/>
          <w:sz w:val="22"/>
          <w:szCs w:val="22"/>
          <w:lang w:eastAsia="en-IN"/>
        </w:rPr>
        <w:t xml:space="preserve"> Solid State Physics Symposium.</w:t>
      </w:r>
    </w:p>
    <w:p w:rsidR="00B55AF8" w:rsidRPr="00030D9B" w:rsidRDefault="00B55AF8" w:rsidP="00D9318B">
      <w:pPr>
        <w:numPr>
          <w:ilvl w:val="0"/>
          <w:numId w:val="1"/>
        </w:numPr>
        <w:tabs>
          <w:tab w:val="clear" w:pos="735"/>
          <w:tab w:val="num" w:pos="360"/>
        </w:tabs>
        <w:spacing w:before="120" w:line="324" w:lineRule="auto"/>
        <w:ind w:left="720" w:hanging="720"/>
        <w:jc w:val="both"/>
        <w:rPr>
          <w:color w:val="000000" w:themeColor="text1"/>
          <w:sz w:val="22"/>
          <w:szCs w:val="22"/>
        </w:rPr>
      </w:pPr>
      <w:r w:rsidRPr="00030D9B">
        <w:rPr>
          <w:bCs/>
          <w:color w:val="000000" w:themeColor="text1"/>
          <w:w w:val="90"/>
          <w:sz w:val="22"/>
          <w:szCs w:val="22"/>
          <w:lang w:eastAsia="en-IN"/>
        </w:rPr>
        <w:t>Arya</w:t>
      </w:r>
      <w:bookmarkStart w:id="0" w:name="bcor1"/>
      <w:bookmarkEnd w:id="0"/>
      <w:r w:rsidRPr="00030D9B">
        <w:rPr>
          <w:bCs/>
          <w:color w:val="000000" w:themeColor="text1"/>
          <w:w w:val="90"/>
          <w:sz w:val="22"/>
          <w:szCs w:val="22"/>
          <w:lang w:eastAsia="en-IN"/>
        </w:rPr>
        <w:t xml:space="preserve">, B. S.; Aynyas, M. and Sanyal, S. P. </w:t>
      </w:r>
      <w:r w:rsidRPr="00030D9B">
        <w:rPr>
          <w:color w:val="000000" w:themeColor="text1"/>
          <w:w w:val="90"/>
          <w:sz w:val="22"/>
          <w:szCs w:val="22"/>
          <w:lang w:eastAsia="en-IN"/>
        </w:rPr>
        <w:t xml:space="preserve">(2009) : </w:t>
      </w:r>
      <w:hyperlink r:id="rId24" w:history="1">
        <w:r w:rsidRPr="00030D9B">
          <w:rPr>
            <w:bCs/>
            <w:color w:val="000000" w:themeColor="text1"/>
            <w:w w:val="90"/>
            <w:sz w:val="22"/>
            <w:szCs w:val="22"/>
            <w:lang w:eastAsia="en-IN"/>
          </w:rPr>
          <w:t>Journal of Nuclear Materials</w:t>
        </w:r>
      </w:hyperlink>
      <w:r w:rsidRPr="00030D9B">
        <w:rPr>
          <w:color w:val="000000" w:themeColor="text1"/>
          <w:w w:val="90"/>
          <w:sz w:val="22"/>
          <w:szCs w:val="22"/>
          <w:lang w:eastAsia="en-IN"/>
        </w:rPr>
        <w:t xml:space="preserve">, </w:t>
      </w:r>
      <w:hyperlink r:id="rId25" w:history="1">
        <w:r w:rsidRPr="00030D9B">
          <w:rPr>
            <w:color w:val="000000" w:themeColor="text1"/>
            <w:w w:val="90"/>
            <w:sz w:val="22"/>
            <w:szCs w:val="22"/>
            <w:lang w:eastAsia="en-IN"/>
          </w:rPr>
          <w:t>Volume 393, Issue 3</w:t>
        </w:r>
      </w:hyperlink>
      <w:r w:rsidRPr="00030D9B">
        <w:rPr>
          <w:color w:val="000000" w:themeColor="text1"/>
          <w:w w:val="90"/>
          <w:sz w:val="22"/>
          <w:szCs w:val="22"/>
          <w:lang w:eastAsia="en-IN"/>
        </w:rPr>
        <w:t>, p 381.</w:t>
      </w:r>
    </w:p>
    <w:p w:rsidR="00B55AF8" w:rsidRPr="00030D9B" w:rsidRDefault="00B55AF8" w:rsidP="00D9318B">
      <w:pPr>
        <w:numPr>
          <w:ilvl w:val="0"/>
          <w:numId w:val="1"/>
        </w:numPr>
        <w:tabs>
          <w:tab w:val="clear" w:pos="735"/>
          <w:tab w:val="num" w:pos="360"/>
        </w:tabs>
        <w:spacing w:before="120" w:line="324" w:lineRule="auto"/>
        <w:ind w:left="720" w:hanging="720"/>
        <w:jc w:val="both"/>
        <w:rPr>
          <w:color w:val="000000" w:themeColor="text1"/>
          <w:sz w:val="22"/>
          <w:szCs w:val="22"/>
        </w:rPr>
      </w:pPr>
      <w:r w:rsidRPr="00030D9B">
        <w:rPr>
          <w:color w:val="000000" w:themeColor="text1"/>
          <w:w w:val="90"/>
          <w:sz w:val="22"/>
          <w:szCs w:val="22"/>
        </w:rPr>
        <w:t>Blackmann, M. (1955) : Trans. Roy. Soc., A 236, p 102.</w:t>
      </w:r>
    </w:p>
    <w:p w:rsidR="00B55AF8" w:rsidRPr="00030D9B" w:rsidRDefault="00B55AF8" w:rsidP="00D9318B">
      <w:pPr>
        <w:numPr>
          <w:ilvl w:val="0"/>
          <w:numId w:val="1"/>
        </w:numPr>
        <w:tabs>
          <w:tab w:val="clear" w:pos="735"/>
          <w:tab w:val="num" w:pos="360"/>
        </w:tabs>
        <w:spacing w:before="120" w:line="324" w:lineRule="auto"/>
        <w:ind w:left="720" w:hanging="720"/>
        <w:jc w:val="both"/>
        <w:rPr>
          <w:color w:val="000000" w:themeColor="text1"/>
          <w:sz w:val="22"/>
          <w:szCs w:val="22"/>
        </w:rPr>
      </w:pPr>
      <w:r w:rsidRPr="00030D9B">
        <w:rPr>
          <w:color w:val="000000" w:themeColor="text1"/>
          <w:w w:val="90"/>
          <w:sz w:val="22"/>
          <w:szCs w:val="22"/>
        </w:rPr>
        <w:t>Imran Aziz M.; Irfan Ahmed and Ahmed Naeem (2008) : International Journal of Chemical Sciences, Vol. 6, p 1415.</w:t>
      </w:r>
    </w:p>
    <w:p w:rsidR="00B55AF8" w:rsidRPr="00030D9B" w:rsidRDefault="00B55AF8" w:rsidP="00D9318B">
      <w:pPr>
        <w:numPr>
          <w:ilvl w:val="0"/>
          <w:numId w:val="1"/>
        </w:numPr>
        <w:tabs>
          <w:tab w:val="clear" w:pos="735"/>
          <w:tab w:val="num" w:pos="360"/>
        </w:tabs>
        <w:spacing w:before="120" w:line="324" w:lineRule="auto"/>
        <w:ind w:left="720" w:hanging="720"/>
        <w:jc w:val="both"/>
        <w:rPr>
          <w:color w:val="000000" w:themeColor="text1"/>
          <w:sz w:val="22"/>
          <w:szCs w:val="22"/>
        </w:rPr>
      </w:pPr>
      <w:r w:rsidRPr="00030D9B">
        <w:rPr>
          <w:color w:val="000000" w:themeColor="text1"/>
          <w:w w:val="90"/>
          <w:sz w:val="22"/>
          <w:szCs w:val="22"/>
        </w:rPr>
        <w:t>Jha, P. K.; Sanyal, S. P. and Singh, R. K. (2002) : PINSA, 68, A, No.1, p 57.</w:t>
      </w:r>
    </w:p>
    <w:p w:rsidR="00AD4B37" w:rsidRPr="00030D9B" w:rsidRDefault="006D4EB4" w:rsidP="00B55AF8">
      <w:pPr>
        <w:numPr>
          <w:ilvl w:val="0"/>
          <w:numId w:val="1"/>
        </w:numPr>
        <w:tabs>
          <w:tab w:val="clear" w:pos="735"/>
          <w:tab w:val="num" w:pos="360"/>
        </w:tabs>
        <w:spacing w:before="120" w:line="324" w:lineRule="auto"/>
        <w:ind w:left="720" w:hanging="720"/>
        <w:jc w:val="both"/>
        <w:rPr>
          <w:color w:val="000000" w:themeColor="text1"/>
          <w:sz w:val="22"/>
          <w:szCs w:val="22"/>
        </w:rPr>
      </w:pPr>
      <w:r w:rsidRPr="00030D9B">
        <w:rPr>
          <w:color w:val="000000" w:themeColor="text1"/>
          <w:w w:val="90"/>
          <w:sz w:val="22"/>
          <w:szCs w:val="22"/>
        </w:rPr>
        <w:t xml:space="preserve">Singh, </w:t>
      </w:r>
      <w:r w:rsidR="00AD4B37" w:rsidRPr="00030D9B">
        <w:rPr>
          <w:color w:val="000000" w:themeColor="text1"/>
          <w:w w:val="90"/>
          <w:sz w:val="22"/>
          <w:szCs w:val="22"/>
        </w:rPr>
        <w:t>R.</w:t>
      </w:r>
      <w:r w:rsidR="00F96623" w:rsidRPr="00030D9B">
        <w:rPr>
          <w:color w:val="000000" w:themeColor="text1"/>
          <w:w w:val="90"/>
          <w:sz w:val="22"/>
          <w:szCs w:val="22"/>
        </w:rPr>
        <w:t xml:space="preserve"> </w:t>
      </w:r>
      <w:r w:rsidR="00AD4B37" w:rsidRPr="00030D9B">
        <w:rPr>
          <w:color w:val="000000" w:themeColor="text1"/>
          <w:w w:val="90"/>
          <w:sz w:val="22"/>
          <w:szCs w:val="22"/>
        </w:rPr>
        <w:t xml:space="preserve">K. </w:t>
      </w:r>
      <w:r w:rsidRPr="00030D9B">
        <w:rPr>
          <w:color w:val="000000" w:themeColor="text1"/>
          <w:w w:val="90"/>
          <w:sz w:val="22"/>
          <w:szCs w:val="22"/>
        </w:rPr>
        <w:t xml:space="preserve">(1982) : </w:t>
      </w:r>
      <w:r w:rsidR="00AD4B37" w:rsidRPr="00030D9B">
        <w:rPr>
          <w:iCs/>
          <w:color w:val="000000" w:themeColor="text1"/>
          <w:w w:val="90"/>
          <w:sz w:val="22"/>
          <w:szCs w:val="22"/>
        </w:rPr>
        <w:t>Physics</w:t>
      </w:r>
      <w:r w:rsidR="00AD4B37" w:rsidRPr="00030D9B">
        <w:rPr>
          <w:i/>
          <w:iCs/>
          <w:color w:val="000000" w:themeColor="text1"/>
          <w:w w:val="90"/>
          <w:sz w:val="22"/>
          <w:szCs w:val="22"/>
        </w:rPr>
        <w:t xml:space="preserve"> </w:t>
      </w:r>
      <w:r w:rsidR="00AD4B37" w:rsidRPr="00030D9B">
        <w:rPr>
          <w:iCs/>
          <w:color w:val="000000" w:themeColor="text1"/>
          <w:w w:val="90"/>
          <w:sz w:val="22"/>
          <w:szCs w:val="22"/>
        </w:rPr>
        <w:t>Reports (Netherlands)</w:t>
      </w:r>
      <w:r w:rsidRPr="00030D9B">
        <w:rPr>
          <w:iCs/>
          <w:color w:val="000000" w:themeColor="text1"/>
          <w:w w:val="90"/>
          <w:sz w:val="22"/>
          <w:szCs w:val="22"/>
        </w:rPr>
        <w:t>,</w:t>
      </w:r>
      <w:r w:rsidR="00AD4B37" w:rsidRPr="00030D9B">
        <w:rPr>
          <w:color w:val="000000" w:themeColor="text1"/>
          <w:w w:val="90"/>
          <w:sz w:val="22"/>
          <w:szCs w:val="22"/>
        </w:rPr>
        <w:t xml:space="preserve"> 85, </w:t>
      </w:r>
      <w:r w:rsidRPr="00030D9B">
        <w:rPr>
          <w:color w:val="000000" w:themeColor="text1"/>
          <w:w w:val="90"/>
          <w:sz w:val="22"/>
          <w:szCs w:val="22"/>
        </w:rPr>
        <w:t>p 259</w:t>
      </w:r>
      <w:r w:rsidR="00AD4B37" w:rsidRPr="00030D9B">
        <w:rPr>
          <w:color w:val="000000" w:themeColor="text1"/>
          <w:w w:val="90"/>
          <w:sz w:val="22"/>
          <w:szCs w:val="22"/>
        </w:rPr>
        <w:t>.</w:t>
      </w:r>
    </w:p>
    <w:p w:rsidR="00AD4B37" w:rsidRPr="006B6689" w:rsidRDefault="006D4EB4" w:rsidP="00D9318B">
      <w:pPr>
        <w:numPr>
          <w:ilvl w:val="0"/>
          <w:numId w:val="1"/>
        </w:numPr>
        <w:tabs>
          <w:tab w:val="clear" w:pos="735"/>
          <w:tab w:val="num" w:pos="360"/>
        </w:tabs>
        <w:spacing w:before="120" w:line="324" w:lineRule="auto"/>
        <w:ind w:left="720" w:hanging="720"/>
        <w:jc w:val="both"/>
        <w:rPr>
          <w:sz w:val="22"/>
          <w:szCs w:val="22"/>
        </w:rPr>
      </w:pPr>
      <w:r w:rsidRPr="00030D9B">
        <w:rPr>
          <w:color w:val="000000" w:themeColor="text1"/>
          <w:w w:val="90"/>
          <w:sz w:val="22"/>
          <w:szCs w:val="22"/>
        </w:rPr>
        <w:t xml:space="preserve">Smart, </w:t>
      </w:r>
      <w:r w:rsidR="00AD4B37" w:rsidRPr="00030D9B">
        <w:rPr>
          <w:color w:val="000000" w:themeColor="text1"/>
          <w:w w:val="90"/>
          <w:sz w:val="22"/>
          <w:szCs w:val="22"/>
        </w:rPr>
        <w:t>C.</w:t>
      </w:r>
      <w:r w:rsidRPr="00030D9B">
        <w:rPr>
          <w:color w:val="000000" w:themeColor="text1"/>
          <w:w w:val="90"/>
          <w:sz w:val="22"/>
          <w:szCs w:val="22"/>
        </w:rPr>
        <w:t>;</w:t>
      </w:r>
      <w:r w:rsidR="00AD4B37" w:rsidRPr="00030D9B">
        <w:rPr>
          <w:color w:val="000000" w:themeColor="text1"/>
          <w:w w:val="90"/>
          <w:sz w:val="22"/>
          <w:szCs w:val="22"/>
        </w:rPr>
        <w:t xml:space="preserve"> </w:t>
      </w:r>
      <w:r w:rsidRPr="00030D9B">
        <w:rPr>
          <w:color w:val="000000" w:themeColor="text1"/>
          <w:w w:val="90"/>
          <w:sz w:val="22"/>
          <w:szCs w:val="22"/>
        </w:rPr>
        <w:t xml:space="preserve">Wilkinson, </w:t>
      </w:r>
      <w:r w:rsidR="00AD4B37" w:rsidRPr="00030D9B">
        <w:rPr>
          <w:color w:val="000000" w:themeColor="text1"/>
          <w:w w:val="90"/>
          <w:sz w:val="22"/>
          <w:szCs w:val="22"/>
        </w:rPr>
        <w:t>G.</w:t>
      </w:r>
      <w:r w:rsidRPr="00030D9B">
        <w:rPr>
          <w:color w:val="000000" w:themeColor="text1"/>
          <w:w w:val="90"/>
          <w:sz w:val="22"/>
          <w:szCs w:val="22"/>
        </w:rPr>
        <w:t xml:space="preserve"> </w:t>
      </w:r>
      <w:r w:rsidR="00AD4B37" w:rsidRPr="00030D9B">
        <w:rPr>
          <w:color w:val="000000" w:themeColor="text1"/>
          <w:w w:val="90"/>
          <w:sz w:val="22"/>
          <w:szCs w:val="22"/>
        </w:rPr>
        <w:t>R.</w:t>
      </w:r>
      <w:r w:rsidRPr="00030D9B">
        <w:rPr>
          <w:color w:val="000000" w:themeColor="text1"/>
          <w:w w:val="90"/>
          <w:sz w:val="22"/>
          <w:szCs w:val="22"/>
        </w:rPr>
        <w:t>;</w:t>
      </w:r>
      <w:r w:rsidR="00AD4B37" w:rsidRPr="00030D9B">
        <w:rPr>
          <w:color w:val="000000" w:themeColor="text1"/>
          <w:w w:val="90"/>
          <w:sz w:val="22"/>
          <w:szCs w:val="22"/>
        </w:rPr>
        <w:t xml:space="preserve"> </w:t>
      </w:r>
      <w:r w:rsidRPr="00030D9B">
        <w:rPr>
          <w:color w:val="000000" w:themeColor="text1"/>
          <w:w w:val="90"/>
          <w:sz w:val="22"/>
          <w:szCs w:val="22"/>
        </w:rPr>
        <w:t xml:space="preserve">Karo, </w:t>
      </w:r>
      <w:r w:rsidR="00AD4B37" w:rsidRPr="00030D9B">
        <w:rPr>
          <w:color w:val="000000" w:themeColor="text1"/>
          <w:w w:val="90"/>
          <w:sz w:val="22"/>
          <w:szCs w:val="22"/>
        </w:rPr>
        <w:t>A.</w:t>
      </w:r>
      <w:r w:rsidRPr="00030D9B">
        <w:rPr>
          <w:color w:val="000000" w:themeColor="text1"/>
          <w:w w:val="90"/>
          <w:sz w:val="22"/>
          <w:szCs w:val="22"/>
        </w:rPr>
        <w:t xml:space="preserve"> </w:t>
      </w:r>
      <w:r w:rsidR="00AD4B37" w:rsidRPr="00030D9B">
        <w:rPr>
          <w:color w:val="000000" w:themeColor="text1"/>
          <w:w w:val="90"/>
          <w:sz w:val="22"/>
          <w:szCs w:val="22"/>
        </w:rPr>
        <w:t xml:space="preserve">M. and </w:t>
      </w:r>
      <w:r w:rsidRPr="00030D9B">
        <w:rPr>
          <w:color w:val="000000" w:themeColor="text1"/>
          <w:w w:val="90"/>
          <w:sz w:val="22"/>
          <w:szCs w:val="22"/>
        </w:rPr>
        <w:t xml:space="preserve">Hardy, </w:t>
      </w:r>
      <w:r w:rsidR="00AD4B37" w:rsidRPr="00030D9B">
        <w:rPr>
          <w:color w:val="000000" w:themeColor="text1"/>
          <w:w w:val="90"/>
          <w:sz w:val="22"/>
          <w:szCs w:val="22"/>
        </w:rPr>
        <w:t>J.</w:t>
      </w:r>
      <w:r w:rsidRPr="00030D9B">
        <w:rPr>
          <w:color w:val="000000" w:themeColor="text1"/>
          <w:w w:val="90"/>
          <w:sz w:val="22"/>
          <w:szCs w:val="22"/>
        </w:rPr>
        <w:t xml:space="preserve"> </w:t>
      </w:r>
      <w:r w:rsidR="00AD4B37" w:rsidRPr="00030D9B">
        <w:rPr>
          <w:color w:val="000000" w:themeColor="text1"/>
          <w:w w:val="90"/>
          <w:sz w:val="22"/>
          <w:szCs w:val="22"/>
        </w:rPr>
        <w:t xml:space="preserve">R. </w:t>
      </w:r>
      <w:r w:rsidRPr="00030D9B">
        <w:rPr>
          <w:color w:val="000000" w:themeColor="text1"/>
          <w:w w:val="90"/>
          <w:sz w:val="22"/>
          <w:szCs w:val="22"/>
        </w:rPr>
        <w:t>(1965) : Lattice Dynamics, E</w:t>
      </w:r>
      <w:r w:rsidR="00AD4B37" w:rsidRPr="00030D9B">
        <w:rPr>
          <w:color w:val="000000" w:themeColor="text1"/>
          <w:w w:val="90"/>
          <w:sz w:val="22"/>
          <w:szCs w:val="22"/>
        </w:rPr>
        <w:t>dited by R.</w:t>
      </w:r>
      <w:r w:rsidRPr="00030D9B">
        <w:rPr>
          <w:color w:val="000000" w:themeColor="text1"/>
          <w:w w:val="90"/>
          <w:sz w:val="22"/>
          <w:szCs w:val="22"/>
        </w:rPr>
        <w:t xml:space="preserve"> </w:t>
      </w:r>
      <w:r w:rsidR="00AD4B37" w:rsidRPr="00030D9B">
        <w:rPr>
          <w:color w:val="000000" w:themeColor="text1"/>
          <w:w w:val="90"/>
          <w:sz w:val="22"/>
          <w:szCs w:val="22"/>
        </w:rPr>
        <w:t>F. Wall</w:t>
      </w:r>
      <w:r w:rsidRPr="00030D9B">
        <w:rPr>
          <w:color w:val="000000" w:themeColor="text1"/>
          <w:w w:val="90"/>
          <w:sz w:val="22"/>
          <w:szCs w:val="22"/>
        </w:rPr>
        <w:t>is (Pergamon Press, Oxford</w:t>
      </w:r>
      <w:r w:rsidR="00AD4B37" w:rsidRPr="00030D9B">
        <w:rPr>
          <w:color w:val="000000" w:themeColor="text1"/>
          <w:w w:val="90"/>
          <w:sz w:val="22"/>
          <w:szCs w:val="22"/>
        </w:rPr>
        <w:t>).</w:t>
      </w:r>
    </w:p>
    <w:p w:rsidR="00AD4B37" w:rsidRPr="00AD4B37" w:rsidRDefault="00D9318B" w:rsidP="00AD4B37">
      <w:pPr>
        <w:spacing w:before="120" w:line="360" w:lineRule="auto"/>
        <w:jc w:val="center"/>
        <w:rPr>
          <w:sz w:val="32"/>
          <w:szCs w:val="22"/>
        </w:rPr>
      </w:pPr>
      <w:r w:rsidRPr="00D175F6">
        <w:rPr>
          <w:sz w:val="32"/>
          <w:szCs w:val="22"/>
        </w:rPr>
        <w:t>* * *</w:t>
      </w:r>
    </w:p>
    <w:sectPr w:rsidR="00AD4B37" w:rsidRPr="00AD4B37" w:rsidSect="000B0C29">
      <w:headerReference w:type="even" r:id="rId26"/>
      <w:headerReference w:type="default" r:id="rId27"/>
      <w:footerReference w:type="default" r:id="rId28"/>
      <w:headerReference w:type="first" r:id="rId29"/>
      <w:pgSz w:w="10368" w:h="14573" w:code="7"/>
      <w:pgMar w:top="1440" w:right="1440" w:bottom="1440" w:left="1440"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27" w:rsidRDefault="00352D27" w:rsidP="00EF460A">
      <w:r>
        <w:separator/>
      </w:r>
    </w:p>
  </w:endnote>
  <w:endnote w:type="continuationSeparator" w:id="1">
    <w:p w:rsidR="00352D27" w:rsidRDefault="00352D27" w:rsidP="00EF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26"/>
      <w:docPartObj>
        <w:docPartGallery w:val="Page Numbers (Bottom of Page)"/>
        <w:docPartUnique/>
      </w:docPartObj>
    </w:sdtPr>
    <w:sdtContent>
      <w:p w:rsidR="009E649D" w:rsidRDefault="00A63CC3">
        <w:pPr>
          <w:pStyle w:val="Footer"/>
          <w:jc w:val="center"/>
        </w:pPr>
        <w:r w:rsidRPr="004270B2">
          <w:rPr>
            <w:b/>
            <w:sz w:val="22"/>
            <w:szCs w:val="22"/>
          </w:rPr>
          <w:fldChar w:fldCharType="begin"/>
        </w:r>
        <w:r w:rsidR="00D9318B" w:rsidRPr="004270B2">
          <w:rPr>
            <w:b/>
            <w:sz w:val="22"/>
            <w:szCs w:val="22"/>
          </w:rPr>
          <w:instrText xml:space="preserve"> PAGE   \* MERGEFORMAT </w:instrText>
        </w:r>
        <w:r w:rsidRPr="004270B2">
          <w:rPr>
            <w:b/>
            <w:sz w:val="22"/>
            <w:szCs w:val="22"/>
          </w:rPr>
          <w:fldChar w:fldCharType="separate"/>
        </w:r>
        <w:r w:rsidR="004B1769">
          <w:rPr>
            <w:b/>
            <w:noProof/>
            <w:sz w:val="22"/>
            <w:szCs w:val="22"/>
          </w:rPr>
          <w:t>39</w:t>
        </w:r>
        <w:r w:rsidRPr="004270B2">
          <w:rPr>
            <w:b/>
            <w:sz w:val="22"/>
            <w:szCs w:val="22"/>
          </w:rPr>
          <w:fldChar w:fldCharType="end"/>
        </w:r>
      </w:p>
    </w:sdtContent>
  </w:sdt>
  <w:p w:rsidR="009E649D" w:rsidRDefault="00352D27" w:rsidP="009E64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27" w:rsidRDefault="00352D27" w:rsidP="00EF460A">
      <w:r>
        <w:separator/>
      </w:r>
    </w:p>
  </w:footnote>
  <w:footnote w:type="continuationSeparator" w:id="1">
    <w:p w:rsidR="00352D27" w:rsidRDefault="00352D27" w:rsidP="00EF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A05CF" w:rsidRDefault="00D9318B" w:rsidP="009E649D">
    <w:pPr>
      <w:pStyle w:val="Header"/>
      <w:jc w:val="center"/>
      <w:rPr>
        <w:i/>
      </w:rPr>
    </w:pPr>
    <w:r w:rsidRPr="001A05CF">
      <w:rPr>
        <w:b/>
        <w:i/>
      </w:rPr>
      <w:t>Anil Kumar and Yogesh Dixit/Effects of Suspended Particles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4736A" w:rsidRDefault="00ED2341" w:rsidP="0014736A">
    <w:pPr>
      <w:tabs>
        <w:tab w:val="left" w:pos="-720"/>
      </w:tabs>
      <w:suppressAutoHyphens/>
      <w:spacing w:after="200" w:line="276" w:lineRule="auto"/>
      <w:jc w:val="center"/>
      <w:rPr>
        <w:b/>
        <w:sz w:val="10"/>
      </w:rPr>
    </w:pPr>
    <w:r>
      <w:rPr>
        <w:b/>
        <w:i/>
        <w:sz w:val="20"/>
        <w:szCs w:val="20"/>
      </w:rPr>
      <w:t>Md. Imran Aziz/A Theoretical Study of Phonon Properties of Dysprosium …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9D" w:rsidRPr="001D4A0A" w:rsidRDefault="00D9318B" w:rsidP="009E649D">
    <w:pPr>
      <w:pStyle w:val="Header"/>
      <w:jc w:val="center"/>
      <w:rPr>
        <w:b/>
        <w:i/>
      </w:rPr>
    </w:pPr>
    <w:r w:rsidRPr="001D4A0A">
      <w:rPr>
        <w:b/>
        <w:i/>
      </w:rPr>
      <w:t>Anil Kumar and Yogesh Dixit/Effects of Suspended Particles</w:t>
    </w:r>
  </w:p>
  <w:p w:rsidR="009E649D" w:rsidRDefault="00352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7ADD"/>
    <w:multiLevelType w:val="hybridMultilevel"/>
    <w:tmpl w:val="AEDA4BC2"/>
    <w:lvl w:ilvl="0" w:tplc="C08C65C6">
      <w:start w:val="1"/>
      <w:numFmt w:val="decimal"/>
      <w:lvlText w:val="%1."/>
      <w:lvlJc w:val="left"/>
      <w:pPr>
        <w:tabs>
          <w:tab w:val="num" w:pos="735"/>
        </w:tabs>
        <w:ind w:left="735" w:hanging="375"/>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FD0A36"/>
    <w:multiLevelType w:val="hybridMultilevel"/>
    <w:tmpl w:val="9AB21F84"/>
    <w:lvl w:ilvl="0" w:tplc="10DE5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318B"/>
    <w:rsid w:val="00030D9B"/>
    <w:rsid w:val="000B0C29"/>
    <w:rsid w:val="000B2E52"/>
    <w:rsid w:val="001429C3"/>
    <w:rsid w:val="00153B27"/>
    <w:rsid w:val="001D70A4"/>
    <w:rsid w:val="00215907"/>
    <w:rsid w:val="00265551"/>
    <w:rsid w:val="002801CF"/>
    <w:rsid w:val="00282FC3"/>
    <w:rsid w:val="002C2E38"/>
    <w:rsid w:val="002C664E"/>
    <w:rsid w:val="00330D2B"/>
    <w:rsid w:val="00330E8B"/>
    <w:rsid w:val="00345FE7"/>
    <w:rsid w:val="00352D27"/>
    <w:rsid w:val="003C3E76"/>
    <w:rsid w:val="004218C8"/>
    <w:rsid w:val="004307FD"/>
    <w:rsid w:val="00465A93"/>
    <w:rsid w:val="004B1769"/>
    <w:rsid w:val="00504709"/>
    <w:rsid w:val="0052053C"/>
    <w:rsid w:val="005371B1"/>
    <w:rsid w:val="00543040"/>
    <w:rsid w:val="006318BA"/>
    <w:rsid w:val="00633EC4"/>
    <w:rsid w:val="006C4BB4"/>
    <w:rsid w:val="006D4EB4"/>
    <w:rsid w:val="0070155C"/>
    <w:rsid w:val="007A0449"/>
    <w:rsid w:val="007B4D9E"/>
    <w:rsid w:val="008032E0"/>
    <w:rsid w:val="00862204"/>
    <w:rsid w:val="00866973"/>
    <w:rsid w:val="0098353D"/>
    <w:rsid w:val="00A04E64"/>
    <w:rsid w:val="00A40BA2"/>
    <w:rsid w:val="00A5350F"/>
    <w:rsid w:val="00A63CC3"/>
    <w:rsid w:val="00A64425"/>
    <w:rsid w:val="00AC7F05"/>
    <w:rsid w:val="00AD4B37"/>
    <w:rsid w:val="00B45083"/>
    <w:rsid w:val="00B465E3"/>
    <w:rsid w:val="00B55AF8"/>
    <w:rsid w:val="00CA0261"/>
    <w:rsid w:val="00D46A5E"/>
    <w:rsid w:val="00D51C6B"/>
    <w:rsid w:val="00D666E9"/>
    <w:rsid w:val="00D9318B"/>
    <w:rsid w:val="00DA0A70"/>
    <w:rsid w:val="00E031A9"/>
    <w:rsid w:val="00EB033E"/>
    <w:rsid w:val="00ED2341"/>
    <w:rsid w:val="00ED2E6B"/>
    <w:rsid w:val="00EF460A"/>
    <w:rsid w:val="00F461CC"/>
    <w:rsid w:val="00F61187"/>
    <w:rsid w:val="00F91068"/>
    <w:rsid w:val="00F96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65E3"/>
    <w:pPr>
      <w:keepNext/>
      <w:spacing w:line="360" w:lineRule="auto"/>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318B"/>
    <w:pPr>
      <w:tabs>
        <w:tab w:val="center" w:pos="4680"/>
        <w:tab w:val="right" w:pos="9360"/>
      </w:tabs>
    </w:pPr>
  </w:style>
  <w:style w:type="character" w:customStyle="1" w:styleId="HeaderChar">
    <w:name w:val="Header Char"/>
    <w:basedOn w:val="DefaultParagraphFont"/>
    <w:link w:val="Header"/>
    <w:rsid w:val="00D931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18B"/>
    <w:pPr>
      <w:tabs>
        <w:tab w:val="center" w:pos="4680"/>
        <w:tab w:val="right" w:pos="9360"/>
      </w:tabs>
    </w:pPr>
  </w:style>
  <w:style w:type="character" w:customStyle="1" w:styleId="FooterChar">
    <w:name w:val="Footer Char"/>
    <w:basedOn w:val="DefaultParagraphFont"/>
    <w:link w:val="Footer"/>
    <w:uiPriority w:val="99"/>
    <w:rsid w:val="00D9318B"/>
    <w:rPr>
      <w:rFonts w:ascii="Times New Roman" w:eastAsia="Times New Roman" w:hAnsi="Times New Roman" w:cs="Times New Roman"/>
      <w:sz w:val="24"/>
      <w:szCs w:val="24"/>
    </w:rPr>
  </w:style>
  <w:style w:type="paragraph" w:styleId="ListParagraph">
    <w:name w:val="List Paragraph"/>
    <w:basedOn w:val="Normal"/>
    <w:uiPriority w:val="34"/>
    <w:qFormat/>
    <w:rsid w:val="00D9318B"/>
    <w:pPr>
      <w:ind w:left="720"/>
      <w:contextualSpacing/>
    </w:pPr>
  </w:style>
  <w:style w:type="table" w:styleId="TableGrid">
    <w:name w:val="Table Grid"/>
    <w:basedOn w:val="TableNormal"/>
    <w:uiPriority w:val="59"/>
    <w:rsid w:val="00D9318B"/>
    <w:pPr>
      <w:spacing w:after="0" w:line="240" w:lineRule="auto"/>
      <w:ind w:left="360" w:right="29" w:hanging="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C4BB4"/>
    <w:pPr>
      <w:spacing w:line="360" w:lineRule="auto"/>
      <w:jc w:val="both"/>
    </w:pPr>
  </w:style>
  <w:style w:type="character" w:customStyle="1" w:styleId="BodyTextChar">
    <w:name w:val="Body Text Char"/>
    <w:basedOn w:val="DefaultParagraphFont"/>
    <w:link w:val="BodyText"/>
    <w:rsid w:val="006C4BB4"/>
    <w:rPr>
      <w:rFonts w:ascii="Times New Roman" w:eastAsia="Times New Roman" w:hAnsi="Times New Roman" w:cs="Times New Roman"/>
      <w:sz w:val="24"/>
      <w:szCs w:val="24"/>
    </w:rPr>
  </w:style>
  <w:style w:type="character" w:styleId="Hyperlink">
    <w:name w:val="Hyperlink"/>
    <w:basedOn w:val="DefaultParagraphFont"/>
    <w:rsid w:val="00DA0A70"/>
    <w:rPr>
      <w:color w:val="0000FF"/>
      <w:u w:val="single"/>
    </w:rPr>
  </w:style>
  <w:style w:type="character" w:customStyle="1" w:styleId="Heading1Char">
    <w:name w:val="Heading 1 Char"/>
    <w:basedOn w:val="DefaultParagraphFont"/>
    <w:link w:val="Heading1"/>
    <w:rsid w:val="00B465E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B465E3"/>
    <w:rPr>
      <w:rFonts w:ascii="Tahoma" w:hAnsi="Tahoma" w:cs="Tahoma"/>
      <w:sz w:val="16"/>
      <w:szCs w:val="16"/>
    </w:rPr>
  </w:style>
  <w:style w:type="character" w:customStyle="1" w:styleId="BalloonTextChar">
    <w:name w:val="Balloon Text Char"/>
    <w:basedOn w:val="DefaultParagraphFont"/>
    <w:link w:val="BalloonText"/>
    <w:uiPriority w:val="99"/>
    <w:semiHidden/>
    <w:rsid w:val="00B465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mailto:aziz_muhd33@yahoo.co.in"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sciencedirect.com/science?_ob=PublicationURL&amp;_tockey=%23TOC%235595%232009%23996069996%231485196%23FLA%23&amp;_cdi=5595&amp;_pubType=J&amp;view=c&amp;_auth=y&amp;_acct=C000050221&amp;_version=1&amp;_urlVersion=0&amp;_userid=10&amp;md5=b6c9623c25c0400963f09c30b48f1815"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sciencedirect.com/science/journal/00223115"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2016-07-18T02:44:00Z</cp:lastPrinted>
  <dcterms:created xsi:type="dcterms:W3CDTF">2016-07-18T02:00:00Z</dcterms:created>
  <dcterms:modified xsi:type="dcterms:W3CDTF">2016-07-20T18:03:00Z</dcterms:modified>
</cp:coreProperties>
</file>